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730" w:rsidRDefault="00857730" w:rsidP="00857730">
      <w:pPr>
        <w:pBdr>
          <w:bottom w:val="single" w:sz="8" w:space="4" w:color="4F81BD"/>
        </w:pBdr>
        <w:spacing w:after="120"/>
        <w:jc w:val="center"/>
        <w:rPr>
          <w:rFonts w:cs="Times New Roman"/>
          <w:b/>
          <w:smallCaps/>
          <w:spacing w:val="5"/>
          <w:kern w:val="28"/>
          <w:sz w:val="32"/>
          <w:szCs w:val="32"/>
        </w:rPr>
      </w:pPr>
    </w:p>
    <w:p w:rsidR="00857730" w:rsidRDefault="00857730" w:rsidP="00857730">
      <w:pPr>
        <w:pBdr>
          <w:bottom w:val="single" w:sz="8" w:space="4" w:color="4F81BD"/>
        </w:pBdr>
        <w:spacing w:after="120"/>
        <w:jc w:val="right"/>
        <w:rPr>
          <w:rFonts w:cs="Times New Roman"/>
          <w:b/>
          <w:smallCaps/>
          <w:spacing w:val="5"/>
          <w:kern w:val="28"/>
          <w:sz w:val="32"/>
          <w:szCs w:val="32"/>
        </w:rPr>
      </w:pPr>
    </w:p>
    <w:p w:rsidR="00857730" w:rsidRPr="00580904" w:rsidRDefault="00857730" w:rsidP="00857730">
      <w:pPr>
        <w:pBdr>
          <w:bottom w:val="single" w:sz="8" w:space="4" w:color="4F81BD"/>
        </w:pBdr>
        <w:spacing w:after="120"/>
        <w:jc w:val="right"/>
        <w:rPr>
          <w:rFonts w:cs="Times New Roman"/>
          <w:b/>
          <w:smallCaps/>
          <w:spacing w:val="5"/>
          <w:kern w:val="28"/>
          <w:sz w:val="32"/>
          <w:szCs w:val="32"/>
          <w:lang w:val="bg-BG"/>
        </w:rPr>
      </w:pPr>
      <w:r w:rsidRPr="00580904">
        <w:rPr>
          <w:rFonts w:cs="Times New Roman"/>
          <w:b/>
          <w:smallCaps/>
          <w:spacing w:val="5"/>
          <w:kern w:val="28"/>
          <w:sz w:val="32"/>
          <w:szCs w:val="32"/>
          <w:lang w:val="bg-BG"/>
        </w:rPr>
        <w:t>Приложение №</w:t>
      </w:r>
      <w:r w:rsidR="0004446F" w:rsidRPr="00580904">
        <w:rPr>
          <w:rFonts w:cs="Times New Roman"/>
          <w:b/>
          <w:smallCaps/>
          <w:spacing w:val="5"/>
          <w:kern w:val="28"/>
          <w:sz w:val="32"/>
          <w:szCs w:val="32"/>
          <w:lang w:val="bg-BG"/>
        </w:rPr>
        <w:t>2-6</w:t>
      </w:r>
    </w:p>
    <w:p w:rsidR="00857730" w:rsidRPr="004C188D" w:rsidRDefault="00857730" w:rsidP="00857730">
      <w:pPr>
        <w:pBdr>
          <w:bottom w:val="single" w:sz="8" w:space="4" w:color="4F81BD"/>
        </w:pBdr>
        <w:spacing w:after="120"/>
        <w:jc w:val="center"/>
        <w:rPr>
          <w:rFonts w:cs="Times New Roman"/>
          <w:b/>
          <w:smallCaps/>
          <w:spacing w:val="5"/>
          <w:kern w:val="28"/>
          <w:sz w:val="32"/>
          <w:szCs w:val="32"/>
          <w:lang w:val="bg-BG"/>
        </w:rPr>
      </w:pPr>
    </w:p>
    <w:p w:rsidR="00857730" w:rsidRDefault="00857730" w:rsidP="00857730">
      <w:pPr>
        <w:pBdr>
          <w:bottom w:val="single" w:sz="8" w:space="4" w:color="4F81BD"/>
        </w:pBdr>
        <w:spacing w:after="120"/>
        <w:jc w:val="center"/>
        <w:rPr>
          <w:rFonts w:cs="Times New Roman"/>
          <w:b/>
          <w:smallCaps/>
          <w:spacing w:val="5"/>
          <w:kern w:val="28"/>
          <w:sz w:val="32"/>
          <w:szCs w:val="32"/>
        </w:rPr>
      </w:pPr>
    </w:p>
    <w:p w:rsidR="00857730" w:rsidRDefault="00857730" w:rsidP="00857730">
      <w:pPr>
        <w:pBdr>
          <w:bottom w:val="single" w:sz="8" w:space="4" w:color="4F81BD"/>
        </w:pBdr>
        <w:spacing w:after="120"/>
        <w:jc w:val="center"/>
        <w:rPr>
          <w:rFonts w:cs="Times New Roman"/>
          <w:b/>
          <w:smallCaps/>
          <w:spacing w:val="5"/>
          <w:kern w:val="28"/>
          <w:sz w:val="32"/>
          <w:szCs w:val="32"/>
        </w:rPr>
      </w:pPr>
    </w:p>
    <w:p w:rsidR="00857730" w:rsidRPr="004C188D" w:rsidRDefault="00857730" w:rsidP="00857730">
      <w:pPr>
        <w:pBdr>
          <w:bottom w:val="single" w:sz="8" w:space="4" w:color="4F81BD"/>
        </w:pBdr>
        <w:spacing w:after="120"/>
        <w:jc w:val="center"/>
        <w:rPr>
          <w:rFonts w:cs="Times New Roman"/>
          <w:b/>
          <w:smallCaps/>
          <w:spacing w:val="5"/>
          <w:kern w:val="28"/>
          <w:sz w:val="32"/>
          <w:szCs w:val="32"/>
          <w:lang w:val="bg-BG"/>
        </w:rPr>
      </w:pPr>
    </w:p>
    <w:p w:rsidR="00857730" w:rsidRPr="004C188D" w:rsidRDefault="00857730" w:rsidP="00857730">
      <w:pPr>
        <w:pBdr>
          <w:bottom w:val="single" w:sz="8" w:space="4" w:color="4F81BD"/>
        </w:pBdr>
        <w:spacing w:after="120"/>
        <w:jc w:val="center"/>
        <w:rPr>
          <w:rFonts w:cs="Times New Roman"/>
          <w:b/>
          <w:smallCaps/>
          <w:spacing w:val="5"/>
          <w:kern w:val="28"/>
          <w:sz w:val="32"/>
          <w:szCs w:val="32"/>
          <w:lang w:val="bg-BG"/>
        </w:rPr>
      </w:pPr>
    </w:p>
    <w:p w:rsidR="00857730" w:rsidRPr="004C188D" w:rsidRDefault="00D22F48" w:rsidP="00857730">
      <w:pPr>
        <w:pBdr>
          <w:bottom w:val="single" w:sz="8" w:space="4" w:color="4F81BD"/>
        </w:pBdr>
        <w:spacing w:after="120"/>
        <w:jc w:val="center"/>
        <w:rPr>
          <w:rFonts w:cs="Times New Roman"/>
          <w:b/>
          <w:smallCaps/>
          <w:spacing w:val="5"/>
          <w:kern w:val="28"/>
          <w:sz w:val="32"/>
          <w:szCs w:val="32"/>
          <w:lang w:val="bg-BG"/>
        </w:rPr>
      </w:pPr>
      <w:r>
        <w:rPr>
          <w:rFonts w:cs="Times New Roman"/>
          <w:b/>
          <w:bCs/>
          <w:smallCaps/>
          <w:spacing w:val="5"/>
          <w:kern w:val="28"/>
          <w:sz w:val="32"/>
          <w:szCs w:val="32"/>
          <w:lang w:val="bg-BG"/>
        </w:rPr>
        <w:t>Идентифицирани ограничения. Заключения и п</w:t>
      </w:r>
      <w:r w:rsidR="0004446F" w:rsidRPr="0004446F">
        <w:rPr>
          <w:rFonts w:cs="Times New Roman"/>
          <w:b/>
          <w:bCs/>
          <w:smallCaps/>
          <w:spacing w:val="5"/>
          <w:kern w:val="28"/>
          <w:sz w:val="32"/>
          <w:szCs w:val="32"/>
          <w:lang w:val="bg-BG"/>
        </w:rPr>
        <w:t>репоръки</w:t>
      </w:r>
    </w:p>
    <w:p w:rsidR="00857730" w:rsidRPr="004C188D" w:rsidRDefault="00857730" w:rsidP="00857730">
      <w:pPr>
        <w:spacing w:after="120"/>
        <w:jc w:val="center"/>
        <w:rPr>
          <w:rFonts w:eastAsia="Calibri" w:cs="Times New Roman"/>
          <w:i/>
          <w:lang w:val="bg-BG"/>
        </w:rPr>
      </w:pPr>
      <w:r w:rsidRPr="004C188D">
        <w:rPr>
          <w:rFonts w:eastAsia="Calibri" w:cs="Times New Roman"/>
          <w:i/>
          <w:lang w:val="bg-BG"/>
        </w:rPr>
        <w:t>в изпълнение на Договор № МС-199/29.10.2014 г. с предмет „</w:t>
      </w:r>
      <w:r w:rsidRPr="004C188D">
        <w:rPr>
          <w:rFonts w:cs="Times New Roman"/>
          <w:i/>
          <w:lang w:val="bg-BG"/>
        </w:rPr>
        <w:t>Консултантски услуги за определяне на унифицирани ставки за разходите за дейности, изпълнявани със собствени ресурси от бенефициентите по проекти, финансирани със средства от ЕС”</w:t>
      </w:r>
      <w:r w:rsidRPr="004C188D">
        <w:rPr>
          <w:rFonts w:eastAsia="Calibri" w:cs="Times New Roman"/>
          <w:i/>
          <w:lang w:val="bg-BG"/>
        </w:rPr>
        <w:t>, подписан между Администрация на Министерски съвет и ДЗЗД Консорциум „ИДЕИН-ФПИ-АФА”, и реализиран в рамките на проект „Подпомагане работата на Централно координационно звено”, рег. № 0105-ЦКЗ-1.1, финансиран от Оперативна програма „Техническа помощ“</w:t>
      </w:r>
    </w:p>
    <w:p w:rsidR="00857730" w:rsidRPr="004C188D" w:rsidRDefault="00857730" w:rsidP="00857730">
      <w:pPr>
        <w:spacing w:after="120"/>
        <w:rPr>
          <w:rFonts w:eastAsia="Calibri" w:cs="Times New Roman"/>
          <w:i/>
          <w:lang w:val="bg-BG"/>
        </w:rPr>
      </w:pPr>
    </w:p>
    <w:p w:rsidR="008C544F" w:rsidRDefault="002471F7">
      <w:pPr>
        <w:rPr>
          <w:b/>
          <w:lang w:val="bg-BG"/>
        </w:rPr>
      </w:pPr>
      <w:r>
        <w:rPr>
          <w:b/>
          <w:lang w:val="bg-BG"/>
        </w:rPr>
        <w:br w:type="page"/>
      </w:r>
    </w:p>
    <w:p w:rsidR="00D22F48" w:rsidRPr="00D22F48" w:rsidRDefault="00BF6F4A" w:rsidP="00BF6F4A">
      <w:pPr>
        <w:pStyle w:val="Heading1"/>
        <w:numPr>
          <w:ilvl w:val="0"/>
          <w:numId w:val="11"/>
        </w:numPr>
        <w:spacing w:before="0" w:after="120"/>
        <w:jc w:val="both"/>
        <w:rPr>
          <w:smallCaps/>
          <w:sz w:val="28"/>
          <w:lang w:val="bg-BG"/>
        </w:rPr>
      </w:pPr>
      <w:bookmarkStart w:id="0" w:name="_GoBack"/>
      <w:bookmarkStart w:id="1" w:name="_Toc413253020"/>
      <w:bookmarkStart w:id="2" w:name="_Toc413675775"/>
      <w:bookmarkEnd w:id="0"/>
      <w:r>
        <w:rPr>
          <w:smallCaps/>
          <w:sz w:val="28"/>
          <w:lang w:val="bg-BG"/>
        </w:rPr>
        <w:lastRenderedPageBreak/>
        <w:t>Специфика на</w:t>
      </w:r>
      <w:r w:rsidR="00D22F48" w:rsidRPr="00D22F48">
        <w:rPr>
          <w:smallCaps/>
          <w:sz w:val="28"/>
          <w:lang w:val="bg-BG"/>
        </w:rPr>
        <w:t xml:space="preserve"> източниците на информация</w:t>
      </w:r>
      <w:bookmarkEnd w:id="1"/>
      <w:bookmarkEnd w:id="2"/>
    </w:p>
    <w:p w:rsidR="00D22F48" w:rsidRPr="00D22F48" w:rsidRDefault="00D22F48" w:rsidP="00BF6F4A">
      <w:pPr>
        <w:pStyle w:val="ListParagraph"/>
        <w:numPr>
          <w:ilvl w:val="1"/>
          <w:numId w:val="11"/>
        </w:numPr>
        <w:rPr>
          <w:b/>
          <w:lang w:val="bg-BG"/>
        </w:rPr>
      </w:pPr>
      <w:bookmarkStart w:id="3" w:name="_Toc413600577"/>
      <w:bookmarkStart w:id="4" w:name="_Toc413675776"/>
      <w:bookmarkEnd w:id="3"/>
      <w:r w:rsidRPr="00D22F48">
        <w:rPr>
          <w:b/>
          <w:lang w:val="bg-BG"/>
        </w:rPr>
        <w:t>Начин на определяне на съвкупността и извадката</w:t>
      </w:r>
      <w:bookmarkEnd w:id="4"/>
    </w:p>
    <w:p w:rsidR="00D22F48" w:rsidRPr="00640CAD" w:rsidRDefault="00D22F48" w:rsidP="00D22F48">
      <w:pPr>
        <w:spacing w:after="120"/>
        <w:ind w:firstLine="567"/>
        <w:jc w:val="both"/>
        <w:rPr>
          <w:rFonts w:cs="Times New Roman"/>
          <w:sz w:val="24"/>
          <w:szCs w:val="24"/>
          <w:lang w:val="bg-BG"/>
        </w:rPr>
      </w:pPr>
      <w:r w:rsidRPr="00640CAD">
        <w:rPr>
          <w:rFonts w:cs="Times New Roman"/>
          <w:sz w:val="24"/>
          <w:szCs w:val="24"/>
          <w:lang w:val="bg-BG"/>
        </w:rPr>
        <w:t>Цел при събирането на историческите данни за разходите по изведените за типични 15 дейности и за дейността по организация и управление е да се осигури</w:t>
      </w:r>
      <w:r>
        <w:rPr>
          <w:rFonts w:cs="Times New Roman"/>
          <w:sz w:val="24"/>
          <w:szCs w:val="24"/>
          <w:lang w:val="bg-BG"/>
        </w:rPr>
        <w:t xml:space="preserve"> </w:t>
      </w:r>
      <w:r w:rsidRPr="00640CAD">
        <w:rPr>
          <w:rFonts w:cs="Times New Roman"/>
          <w:sz w:val="24"/>
          <w:szCs w:val="24"/>
          <w:lang w:val="bg-BG"/>
        </w:rPr>
        <w:t>представителна извадка от данни на ниво дейност/</w:t>
      </w:r>
      <w:proofErr w:type="spellStart"/>
      <w:r w:rsidRPr="00640CAD">
        <w:rPr>
          <w:rFonts w:cs="Times New Roman"/>
          <w:sz w:val="24"/>
          <w:szCs w:val="24"/>
          <w:lang w:val="bg-BG"/>
        </w:rPr>
        <w:t>поддейност</w:t>
      </w:r>
      <w:proofErr w:type="spellEnd"/>
      <w:r w:rsidRPr="00640CAD">
        <w:rPr>
          <w:rFonts w:cs="Times New Roman"/>
          <w:sz w:val="24"/>
          <w:szCs w:val="24"/>
          <w:lang w:val="bg-BG"/>
        </w:rPr>
        <w:t xml:space="preserve"> и респ. на ниво тип експерт. Поради тази причина</w:t>
      </w:r>
      <w:r>
        <w:rPr>
          <w:rFonts w:cs="Times New Roman"/>
          <w:sz w:val="24"/>
          <w:szCs w:val="24"/>
          <w:lang w:val="bg-BG"/>
        </w:rPr>
        <w:t xml:space="preserve"> </w:t>
      </w:r>
      <w:r w:rsidRPr="00640CAD">
        <w:rPr>
          <w:rFonts w:cs="Times New Roman"/>
          <w:sz w:val="24"/>
          <w:szCs w:val="24"/>
          <w:lang w:val="bg-BG"/>
        </w:rPr>
        <w:t>от всеки УО</w:t>
      </w:r>
      <w:r>
        <w:rPr>
          <w:rFonts w:cs="Times New Roman"/>
          <w:sz w:val="24"/>
          <w:szCs w:val="24"/>
          <w:lang w:val="bg-BG"/>
        </w:rPr>
        <w:t xml:space="preserve"> е поискано</w:t>
      </w:r>
      <w:r w:rsidRPr="00640CAD">
        <w:rPr>
          <w:rFonts w:cs="Times New Roman"/>
          <w:sz w:val="24"/>
          <w:szCs w:val="24"/>
          <w:lang w:val="bg-BG"/>
        </w:rPr>
        <w:t xml:space="preserve"> да представи </w:t>
      </w:r>
      <w:r>
        <w:rPr>
          <w:rFonts w:cs="Times New Roman"/>
          <w:sz w:val="24"/>
          <w:szCs w:val="24"/>
          <w:lang w:val="bg-BG"/>
        </w:rPr>
        <w:t>минимум</w:t>
      </w:r>
      <w:r w:rsidRPr="00640CAD">
        <w:rPr>
          <w:rFonts w:cs="Times New Roman"/>
          <w:sz w:val="24"/>
          <w:szCs w:val="24"/>
          <w:lang w:val="bg-BG"/>
        </w:rPr>
        <w:t xml:space="preserve"> 30-35 броя подходящи бюджети, съдържащи релевантна информация за изследваните дейности, с презумпцията да се постигне извадка на ниво всяка </w:t>
      </w:r>
      <w:proofErr w:type="spellStart"/>
      <w:r w:rsidRPr="00640CAD">
        <w:rPr>
          <w:rFonts w:cs="Times New Roman"/>
          <w:sz w:val="24"/>
          <w:szCs w:val="24"/>
          <w:lang w:val="bg-BG"/>
        </w:rPr>
        <w:t>калкулационна</w:t>
      </w:r>
      <w:proofErr w:type="spellEnd"/>
      <w:r w:rsidRPr="00640CAD">
        <w:rPr>
          <w:rFonts w:cs="Times New Roman"/>
          <w:sz w:val="24"/>
          <w:szCs w:val="24"/>
          <w:lang w:val="bg-BG"/>
        </w:rPr>
        <w:t xml:space="preserve"> единица (единица продукт/часова ставка на тип експерт) от поне 50-60 броя еднотипни обекта за статистически анализ и изчисления. Допълнително, от всички заинтересовани страни – СИП и/или конкретни бенефициенти на ОП и други донорски програми, е поискана информация за изпълнените/изпълнявани от тях проекти, включително одобрени бюджети и реално направени разходи. Обобщението за получените бюджети е направено в Приложение №</w:t>
      </w:r>
      <w:r>
        <w:rPr>
          <w:rFonts w:cs="Times New Roman"/>
          <w:sz w:val="24"/>
          <w:szCs w:val="24"/>
          <w:lang w:val="bg-BG"/>
        </w:rPr>
        <w:t>3</w:t>
      </w:r>
      <w:r w:rsidRPr="00640CAD">
        <w:rPr>
          <w:rFonts w:cs="Times New Roman"/>
          <w:sz w:val="24"/>
          <w:szCs w:val="24"/>
          <w:lang w:val="bg-BG"/>
        </w:rPr>
        <w:t>, а по-долу</w:t>
      </w:r>
      <w:r>
        <w:rPr>
          <w:rFonts w:cs="Times New Roman"/>
          <w:sz w:val="24"/>
          <w:szCs w:val="24"/>
          <w:lang w:val="bg-BG"/>
        </w:rPr>
        <w:t xml:space="preserve"> в текста</w:t>
      </w:r>
      <w:r w:rsidRPr="00640CAD">
        <w:rPr>
          <w:rFonts w:cs="Times New Roman"/>
          <w:sz w:val="24"/>
          <w:szCs w:val="24"/>
          <w:lang w:val="bg-BG"/>
        </w:rPr>
        <w:t xml:space="preserve"> е описана тяхната обработка във вид за използване за статистическо изследване.</w:t>
      </w:r>
    </w:p>
    <w:p w:rsidR="00D22F48" w:rsidRPr="00620D53" w:rsidRDefault="00D22F48" w:rsidP="00D22F48">
      <w:pPr>
        <w:spacing w:after="120"/>
        <w:ind w:firstLine="567"/>
        <w:jc w:val="both"/>
        <w:rPr>
          <w:rFonts w:cs="Times New Roman"/>
          <w:sz w:val="24"/>
          <w:szCs w:val="24"/>
          <w:lang w:val="bg-BG"/>
        </w:rPr>
      </w:pPr>
      <w:r w:rsidRPr="00640CAD">
        <w:rPr>
          <w:rFonts w:cs="Times New Roman"/>
          <w:sz w:val="24"/>
          <w:szCs w:val="24"/>
          <w:lang w:val="bg-BG"/>
        </w:rPr>
        <w:t>Така формираните извадки са допълвани за целите на статистическия анализ с допълнителната информация от анкетното проучване и пазарното проучване на отделни показатели, успоредно извеждани чрез статистическите изчисления на екипа на изпълнителя.</w:t>
      </w:r>
    </w:p>
    <w:p w:rsidR="00D22F48" w:rsidRDefault="00F42AE1" w:rsidP="00BF6F4A">
      <w:pPr>
        <w:pStyle w:val="ListParagraph"/>
        <w:numPr>
          <w:ilvl w:val="1"/>
          <w:numId w:val="11"/>
        </w:numPr>
        <w:rPr>
          <w:b/>
          <w:lang w:val="bg-BG"/>
        </w:rPr>
      </w:pPr>
      <w:bookmarkStart w:id="5" w:name="_Toc413675777"/>
      <w:r>
        <w:rPr>
          <w:b/>
          <w:lang w:val="bg-BG"/>
        </w:rPr>
        <w:t>П</w:t>
      </w:r>
      <w:r w:rsidR="00D22F48" w:rsidRPr="00D22F48">
        <w:rPr>
          <w:b/>
          <w:lang w:val="bg-BG"/>
        </w:rPr>
        <w:t>олучени данни</w:t>
      </w:r>
      <w:bookmarkEnd w:id="5"/>
    </w:p>
    <w:p w:rsidR="00D22F48" w:rsidRPr="00D22F48" w:rsidRDefault="00D22F48" w:rsidP="00D22F48">
      <w:pPr>
        <w:pStyle w:val="ListParagraph"/>
        <w:ind w:left="1287"/>
        <w:rPr>
          <w:b/>
          <w:lang w:val="bg-BG"/>
        </w:rPr>
      </w:pPr>
    </w:p>
    <w:p w:rsidR="00D22F48" w:rsidRPr="00640CAD" w:rsidRDefault="00D22F48" w:rsidP="00D22F48">
      <w:pPr>
        <w:pStyle w:val="ListParagraph"/>
        <w:tabs>
          <w:tab w:val="left" w:pos="426"/>
        </w:tabs>
        <w:spacing w:after="120"/>
        <w:ind w:left="0" w:firstLine="567"/>
        <w:contextualSpacing w:val="0"/>
        <w:jc w:val="both"/>
        <w:rPr>
          <w:rFonts w:cs="Times New Roman"/>
          <w:b/>
          <w:i/>
          <w:sz w:val="24"/>
          <w:szCs w:val="24"/>
          <w:lang w:val="bg-BG"/>
        </w:rPr>
      </w:pPr>
      <w:r w:rsidRPr="00640CAD">
        <w:rPr>
          <w:rFonts w:cs="Times New Roman"/>
          <w:b/>
          <w:i/>
          <w:sz w:val="24"/>
          <w:szCs w:val="24"/>
          <w:lang w:val="bg-BG"/>
        </w:rPr>
        <w:t xml:space="preserve">Информация, </w:t>
      </w:r>
      <w:r w:rsidR="00F42AE1">
        <w:rPr>
          <w:rFonts w:cs="Times New Roman"/>
          <w:b/>
          <w:i/>
          <w:sz w:val="24"/>
          <w:szCs w:val="24"/>
          <w:lang w:val="bg-BG"/>
        </w:rPr>
        <w:t>предоставена</w:t>
      </w:r>
      <w:r w:rsidR="00F42AE1" w:rsidRPr="00640CAD">
        <w:rPr>
          <w:rFonts w:cs="Times New Roman"/>
          <w:b/>
          <w:i/>
          <w:sz w:val="24"/>
          <w:szCs w:val="24"/>
          <w:lang w:val="bg-BG"/>
        </w:rPr>
        <w:t xml:space="preserve"> </w:t>
      </w:r>
      <w:r w:rsidRPr="00640CAD">
        <w:rPr>
          <w:rFonts w:cs="Times New Roman"/>
          <w:b/>
          <w:i/>
          <w:sz w:val="24"/>
          <w:szCs w:val="24"/>
          <w:lang w:val="bg-BG"/>
        </w:rPr>
        <w:t>от управляващите органи</w:t>
      </w:r>
    </w:p>
    <w:p w:rsidR="00D22F48" w:rsidRPr="00640CAD" w:rsidRDefault="00D22F48" w:rsidP="00BF6F4A">
      <w:pPr>
        <w:numPr>
          <w:ilvl w:val="0"/>
          <w:numId w:val="15"/>
        </w:numPr>
        <w:tabs>
          <w:tab w:val="clear" w:pos="720"/>
          <w:tab w:val="num" w:pos="851"/>
        </w:tabs>
        <w:spacing w:after="120"/>
        <w:ind w:left="851" w:hanging="284"/>
        <w:jc w:val="both"/>
        <w:rPr>
          <w:rFonts w:cs="Times New Roman"/>
          <w:sz w:val="24"/>
          <w:szCs w:val="24"/>
          <w:lang w:val="bg-BG"/>
        </w:rPr>
      </w:pPr>
      <w:r w:rsidRPr="00640CAD">
        <w:rPr>
          <w:rFonts w:cs="Times New Roman"/>
          <w:sz w:val="24"/>
          <w:szCs w:val="24"/>
          <w:lang w:val="bg-BG"/>
        </w:rPr>
        <w:t>ОП „Административен капацитет“ 2007-2013 г. – 130 бюджета, съдържащи информация за изпълнявани дейности и за възнаграждения на експерти, включително за управление на проекта;</w:t>
      </w:r>
    </w:p>
    <w:p w:rsidR="00D22F48" w:rsidRPr="00640CAD" w:rsidRDefault="00D22F48" w:rsidP="00BF6F4A">
      <w:pPr>
        <w:numPr>
          <w:ilvl w:val="0"/>
          <w:numId w:val="15"/>
        </w:numPr>
        <w:tabs>
          <w:tab w:val="clear" w:pos="720"/>
          <w:tab w:val="num" w:pos="851"/>
        </w:tabs>
        <w:spacing w:after="120"/>
        <w:ind w:left="851" w:hanging="284"/>
        <w:jc w:val="both"/>
        <w:rPr>
          <w:rFonts w:cs="Times New Roman"/>
          <w:sz w:val="24"/>
          <w:szCs w:val="24"/>
          <w:lang w:val="bg-BG"/>
        </w:rPr>
      </w:pPr>
      <w:r w:rsidRPr="00640CAD">
        <w:rPr>
          <w:rFonts w:cs="Times New Roman"/>
          <w:sz w:val="24"/>
          <w:szCs w:val="24"/>
          <w:lang w:val="bg-BG"/>
        </w:rPr>
        <w:t xml:space="preserve">Програма за развитие на селските </w:t>
      </w:r>
      <w:r w:rsidRPr="00640CAD">
        <w:rPr>
          <w:rFonts w:cs="Times New Roman"/>
          <w:lang w:val="bg-BG"/>
        </w:rPr>
        <w:t>райони</w:t>
      </w:r>
      <w:r w:rsidRPr="00640CAD">
        <w:rPr>
          <w:rFonts w:cs="Times New Roman"/>
          <w:sz w:val="24"/>
          <w:szCs w:val="24"/>
          <w:lang w:val="bg-BG"/>
        </w:rPr>
        <w:t>, ос ЛИДЕР:</w:t>
      </w:r>
    </w:p>
    <w:p w:rsidR="00D22F48" w:rsidRPr="00640CAD" w:rsidRDefault="00D22F48" w:rsidP="00BF6F4A">
      <w:pPr>
        <w:numPr>
          <w:ilvl w:val="1"/>
          <w:numId w:val="17"/>
        </w:numPr>
        <w:tabs>
          <w:tab w:val="clear" w:pos="1440"/>
          <w:tab w:val="num" w:pos="1134"/>
        </w:tabs>
        <w:spacing w:after="120"/>
        <w:ind w:left="1134" w:hanging="283"/>
        <w:jc w:val="both"/>
        <w:rPr>
          <w:rFonts w:cs="Times New Roman"/>
          <w:sz w:val="24"/>
          <w:szCs w:val="24"/>
          <w:lang w:val="bg-BG"/>
        </w:rPr>
      </w:pPr>
      <w:r w:rsidRPr="00640CAD">
        <w:rPr>
          <w:rFonts w:cs="Times New Roman"/>
          <w:sz w:val="24"/>
          <w:szCs w:val="24"/>
          <w:lang w:val="bg-BG"/>
        </w:rPr>
        <w:t>16 бюджета за 2011 г. – първа покана;</w:t>
      </w:r>
    </w:p>
    <w:p w:rsidR="00D22F48" w:rsidRPr="00640CAD" w:rsidRDefault="00D22F48" w:rsidP="00BF6F4A">
      <w:pPr>
        <w:numPr>
          <w:ilvl w:val="1"/>
          <w:numId w:val="17"/>
        </w:numPr>
        <w:tabs>
          <w:tab w:val="clear" w:pos="1440"/>
          <w:tab w:val="num" w:pos="1134"/>
        </w:tabs>
        <w:spacing w:after="120"/>
        <w:ind w:left="1134" w:hanging="283"/>
        <w:jc w:val="both"/>
        <w:rPr>
          <w:rFonts w:cs="Times New Roman"/>
          <w:sz w:val="24"/>
          <w:szCs w:val="24"/>
          <w:lang w:val="bg-BG"/>
        </w:rPr>
      </w:pPr>
      <w:r w:rsidRPr="00640CAD">
        <w:rPr>
          <w:rFonts w:cs="Times New Roman"/>
          <w:sz w:val="24"/>
          <w:szCs w:val="24"/>
          <w:lang w:val="bg-BG"/>
        </w:rPr>
        <w:t>16 бюджета за 2012 г. – първа покана;</w:t>
      </w:r>
    </w:p>
    <w:p w:rsidR="00D22F48" w:rsidRPr="00640CAD" w:rsidRDefault="00D22F48" w:rsidP="00BF6F4A">
      <w:pPr>
        <w:numPr>
          <w:ilvl w:val="1"/>
          <w:numId w:val="17"/>
        </w:numPr>
        <w:tabs>
          <w:tab w:val="clear" w:pos="1440"/>
          <w:tab w:val="num" w:pos="1134"/>
        </w:tabs>
        <w:spacing w:after="120"/>
        <w:ind w:left="1134" w:hanging="283"/>
        <w:jc w:val="both"/>
        <w:rPr>
          <w:rFonts w:cs="Times New Roman"/>
          <w:sz w:val="24"/>
          <w:szCs w:val="24"/>
          <w:lang w:val="bg-BG"/>
        </w:rPr>
      </w:pPr>
      <w:r w:rsidRPr="00640CAD">
        <w:rPr>
          <w:rFonts w:cs="Times New Roman"/>
          <w:sz w:val="24"/>
          <w:szCs w:val="24"/>
          <w:lang w:val="bg-BG"/>
        </w:rPr>
        <w:t>19 бюджета за 2012 г. - втора покана, и 2013 г.;</w:t>
      </w:r>
    </w:p>
    <w:p w:rsidR="00D22F48" w:rsidRPr="00640CAD" w:rsidRDefault="00D22F48" w:rsidP="00BF6F4A">
      <w:pPr>
        <w:numPr>
          <w:ilvl w:val="1"/>
          <w:numId w:val="17"/>
        </w:numPr>
        <w:tabs>
          <w:tab w:val="clear" w:pos="1440"/>
          <w:tab w:val="num" w:pos="1134"/>
        </w:tabs>
        <w:spacing w:after="120"/>
        <w:ind w:left="1134" w:hanging="283"/>
        <w:jc w:val="both"/>
        <w:rPr>
          <w:rFonts w:cs="Times New Roman"/>
          <w:sz w:val="24"/>
          <w:szCs w:val="24"/>
          <w:lang w:val="bg-BG"/>
        </w:rPr>
      </w:pPr>
      <w:r w:rsidRPr="00640CAD">
        <w:rPr>
          <w:rFonts w:cs="Times New Roman"/>
          <w:sz w:val="24"/>
          <w:szCs w:val="24"/>
          <w:lang w:val="bg-BG"/>
        </w:rPr>
        <w:t xml:space="preserve">19 бюджета за 2014-2015 г. </w:t>
      </w:r>
    </w:p>
    <w:p w:rsidR="00D22F48" w:rsidRPr="00640CAD" w:rsidRDefault="00D22F48" w:rsidP="00D22F48">
      <w:pPr>
        <w:spacing w:after="120"/>
        <w:ind w:left="851"/>
        <w:jc w:val="both"/>
        <w:rPr>
          <w:rFonts w:cs="Times New Roman"/>
          <w:sz w:val="24"/>
          <w:szCs w:val="24"/>
          <w:lang w:val="bg-BG"/>
        </w:rPr>
      </w:pPr>
      <w:r w:rsidRPr="00640CAD">
        <w:rPr>
          <w:rFonts w:cs="Times New Roman"/>
          <w:sz w:val="24"/>
          <w:szCs w:val="24"/>
          <w:lang w:val="bg-BG"/>
        </w:rPr>
        <w:t>Съдържат информация за възнаграждения на експерти за управление на проекта.</w:t>
      </w:r>
    </w:p>
    <w:p w:rsidR="00D22F48" w:rsidRPr="00640CAD" w:rsidRDefault="00D22F48" w:rsidP="00BF6F4A">
      <w:pPr>
        <w:numPr>
          <w:ilvl w:val="0"/>
          <w:numId w:val="15"/>
        </w:numPr>
        <w:tabs>
          <w:tab w:val="clear" w:pos="720"/>
          <w:tab w:val="num" w:pos="851"/>
        </w:tabs>
        <w:spacing w:after="120"/>
        <w:ind w:left="851" w:hanging="284"/>
        <w:jc w:val="both"/>
        <w:rPr>
          <w:rFonts w:cs="Times New Roman"/>
          <w:sz w:val="24"/>
          <w:szCs w:val="24"/>
          <w:lang w:val="bg-BG"/>
        </w:rPr>
      </w:pPr>
      <w:r w:rsidRPr="00640CAD">
        <w:rPr>
          <w:rFonts w:cs="Times New Roman"/>
          <w:sz w:val="24"/>
          <w:szCs w:val="24"/>
          <w:lang w:val="bg-BG"/>
        </w:rPr>
        <w:t>ОП „Развитие на конкурентоспособността на българската икономика“:</w:t>
      </w:r>
    </w:p>
    <w:p w:rsidR="00D22F48" w:rsidRPr="00640CAD" w:rsidRDefault="00D22F48" w:rsidP="00BF6F4A">
      <w:pPr>
        <w:numPr>
          <w:ilvl w:val="0"/>
          <w:numId w:val="16"/>
        </w:numPr>
        <w:tabs>
          <w:tab w:val="clear" w:pos="720"/>
          <w:tab w:val="num" w:pos="1134"/>
        </w:tabs>
        <w:spacing w:after="120"/>
        <w:ind w:left="1134" w:hanging="283"/>
        <w:jc w:val="both"/>
        <w:rPr>
          <w:rFonts w:cs="Times New Roman"/>
          <w:sz w:val="24"/>
          <w:szCs w:val="24"/>
          <w:lang w:val="bg-BG"/>
        </w:rPr>
      </w:pPr>
      <w:r w:rsidRPr="00640CAD">
        <w:rPr>
          <w:rFonts w:cs="Times New Roman"/>
          <w:sz w:val="24"/>
          <w:szCs w:val="24"/>
          <w:lang w:val="bg-BG"/>
        </w:rPr>
        <w:t xml:space="preserve"> 25 бюджета (получени към анкетната карта), съдържащи информация за изпълнявани дейности и възнаграждения на експерти; </w:t>
      </w:r>
    </w:p>
    <w:p w:rsidR="00D22F48" w:rsidRPr="00640CAD" w:rsidRDefault="00D22F48" w:rsidP="00BF6F4A">
      <w:pPr>
        <w:numPr>
          <w:ilvl w:val="0"/>
          <w:numId w:val="16"/>
        </w:numPr>
        <w:tabs>
          <w:tab w:val="clear" w:pos="720"/>
          <w:tab w:val="num" w:pos="993"/>
          <w:tab w:val="num" w:pos="1134"/>
        </w:tabs>
        <w:spacing w:after="120"/>
        <w:ind w:left="1134" w:hanging="283"/>
        <w:jc w:val="both"/>
        <w:rPr>
          <w:rFonts w:cs="Times New Roman"/>
          <w:sz w:val="24"/>
          <w:szCs w:val="24"/>
          <w:lang w:val="bg-BG"/>
        </w:rPr>
      </w:pPr>
      <w:r w:rsidRPr="00640CAD">
        <w:rPr>
          <w:rFonts w:cs="Times New Roman"/>
          <w:sz w:val="24"/>
          <w:szCs w:val="24"/>
          <w:lang w:val="bg-BG"/>
        </w:rPr>
        <w:t>бюджети, в които се съдържа информация само за възнаграждения по експерти по 1 и 2 приоритетна ос на ОПРКБИ:</w:t>
      </w:r>
    </w:p>
    <w:p w:rsidR="00D22F48" w:rsidRPr="00640CAD" w:rsidRDefault="00D22F48" w:rsidP="00BF6F4A">
      <w:pPr>
        <w:numPr>
          <w:ilvl w:val="1"/>
          <w:numId w:val="16"/>
        </w:numPr>
        <w:spacing w:after="120"/>
        <w:ind w:hanging="306"/>
        <w:jc w:val="both"/>
        <w:rPr>
          <w:rFonts w:cs="Times New Roman"/>
          <w:sz w:val="24"/>
          <w:szCs w:val="24"/>
          <w:lang w:val="bg-BG"/>
        </w:rPr>
      </w:pPr>
      <w:r w:rsidRPr="00640CAD">
        <w:rPr>
          <w:rFonts w:cs="Times New Roman"/>
          <w:sz w:val="24"/>
          <w:szCs w:val="24"/>
          <w:lang w:val="bg-BG"/>
        </w:rPr>
        <w:t>29 бюджета по ос 1.1.05;</w:t>
      </w:r>
    </w:p>
    <w:p w:rsidR="00D22F48" w:rsidRPr="00640CAD" w:rsidRDefault="00D22F48" w:rsidP="00BF6F4A">
      <w:pPr>
        <w:numPr>
          <w:ilvl w:val="1"/>
          <w:numId w:val="16"/>
        </w:numPr>
        <w:spacing w:after="120"/>
        <w:ind w:hanging="306"/>
        <w:jc w:val="both"/>
        <w:rPr>
          <w:rFonts w:cs="Times New Roman"/>
          <w:sz w:val="24"/>
          <w:szCs w:val="24"/>
          <w:lang w:val="bg-BG"/>
        </w:rPr>
      </w:pPr>
      <w:r w:rsidRPr="00640CAD">
        <w:rPr>
          <w:rFonts w:cs="Times New Roman"/>
          <w:sz w:val="24"/>
          <w:szCs w:val="24"/>
          <w:lang w:val="bg-BG"/>
        </w:rPr>
        <w:t>40 бюджета по ос 1.1.06;</w:t>
      </w:r>
    </w:p>
    <w:p w:rsidR="00D22F48" w:rsidRPr="00640CAD" w:rsidRDefault="00D22F48" w:rsidP="00BF6F4A">
      <w:pPr>
        <w:numPr>
          <w:ilvl w:val="1"/>
          <w:numId w:val="16"/>
        </w:numPr>
        <w:spacing w:after="120"/>
        <w:ind w:hanging="306"/>
        <w:jc w:val="both"/>
        <w:rPr>
          <w:rFonts w:cs="Times New Roman"/>
          <w:sz w:val="24"/>
          <w:szCs w:val="24"/>
          <w:lang w:val="bg-BG"/>
        </w:rPr>
      </w:pPr>
      <w:r w:rsidRPr="00640CAD">
        <w:rPr>
          <w:rFonts w:cs="Times New Roman"/>
          <w:sz w:val="24"/>
          <w:szCs w:val="24"/>
          <w:lang w:val="bg-BG"/>
        </w:rPr>
        <w:t>26 бюджета по ос 1.1.02;</w:t>
      </w:r>
    </w:p>
    <w:p w:rsidR="00D22F48" w:rsidRPr="00640CAD" w:rsidRDefault="00D22F48" w:rsidP="00BF6F4A">
      <w:pPr>
        <w:numPr>
          <w:ilvl w:val="1"/>
          <w:numId w:val="16"/>
        </w:numPr>
        <w:spacing w:after="120"/>
        <w:ind w:hanging="306"/>
        <w:jc w:val="both"/>
        <w:rPr>
          <w:rFonts w:cs="Times New Roman"/>
          <w:sz w:val="24"/>
          <w:szCs w:val="24"/>
          <w:lang w:val="bg-BG"/>
        </w:rPr>
      </w:pPr>
      <w:r w:rsidRPr="00640CAD">
        <w:rPr>
          <w:rFonts w:cs="Times New Roman"/>
          <w:sz w:val="24"/>
          <w:szCs w:val="24"/>
          <w:lang w:val="bg-BG"/>
        </w:rPr>
        <w:t xml:space="preserve">27 бюджета по ос 2.4.01; и </w:t>
      </w:r>
    </w:p>
    <w:p w:rsidR="00D22F48" w:rsidRPr="00640CAD" w:rsidRDefault="00D22F48" w:rsidP="00BF6F4A">
      <w:pPr>
        <w:numPr>
          <w:ilvl w:val="1"/>
          <w:numId w:val="16"/>
        </w:numPr>
        <w:spacing w:after="120"/>
        <w:ind w:hanging="306"/>
        <w:jc w:val="both"/>
        <w:rPr>
          <w:rFonts w:cs="Times New Roman"/>
          <w:sz w:val="24"/>
          <w:szCs w:val="24"/>
          <w:lang w:val="bg-BG"/>
        </w:rPr>
      </w:pPr>
      <w:r w:rsidRPr="00640CAD">
        <w:rPr>
          <w:rFonts w:cs="Times New Roman"/>
          <w:sz w:val="24"/>
          <w:szCs w:val="24"/>
          <w:lang w:val="bg-BG"/>
        </w:rPr>
        <w:t>46 бюджета по ос 2.4.02.</w:t>
      </w:r>
    </w:p>
    <w:p w:rsidR="00D22F48" w:rsidRPr="00640CAD" w:rsidRDefault="00D22F48" w:rsidP="00BF6F4A">
      <w:pPr>
        <w:numPr>
          <w:ilvl w:val="0"/>
          <w:numId w:val="15"/>
        </w:numPr>
        <w:tabs>
          <w:tab w:val="clear" w:pos="720"/>
          <w:tab w:val="num" w:pos="851"/>
        </w:tabs>
        <w:spacing w:after="120"/>
        <w:ind w:left="851" w:hanging="284"/>
        <w:jc w:val="both"/>
        <w:rPr>
          <w:rFonts w:cs="Times New Roman"/>
          <w:sz w:val="24"/>
          <w:szCs w:val="24"/>
          <w:lang w:val="bg-BG"/>
        </w:rPr>
      </w:pPr>
      <w:r w:rsidRPr="00F53D15">
        <w:rPr>
          <w:rFonts w:eastAsia="Calibri" w:cs="Times New Roman"/>
          <w:sz w:val="24"/>
          <w:szCs w:val="24"/>
          <w:lang w:val="bg-BG"/>
        </w:rPr>
        <w:t>ОП „Развитие на човешките ресурси“, приоритетни оси 1, 2, 3 и 4 - 64 бюджета, съдържащи информация за изпълнявани дейности и възнаграждения на експерти, вк</w:t>
      </w:r>
      <w:r>
        <w:rPr>
          <w:rFonts w:eastAsia="Calibri" w:cs="Times New Roman"/>
          <w:sz w:val="24"/>
          <w:szCs w:val="24"/>
          <w:lang w:val="bg-BG"/>
        </w:rPr>
        <w:t>л. за управление на проекта</w:t>
      </w:r>
      <w:r w:rsidRPr="00640CAD">
        <w:rPr>
          <w:rFonts w:cs="Times New Roman"/>
          <w:sz w:val="24"/>
          <w:szCs w:val="24"/>
          <w:lang w:val="bg-BG"/>
        </w:rPr>
        <w:t>.</w:t>
      </w:r>
    </w:p>
    <w:p w:rsidR="00D22F48" w:rsidRPr="00640CAD" w:rsidRDefault="00D22F48" w:rsidP="00BF6F4A">
      <w:pPr>
        <w:numPr>
          <w:ilvl w:val="0"/>
          <w:numId w:val="15"/>
        </w:numPr>
        <w:tabs>
          <w:tab w:val="clear" w:pos="720"/>
          <w:tab w:val="num" w:pos="851"/>
        </w:tabs>
        <w:spacing w:after="120"/>
        <w:ind w:left="851" w:hanging="284"/>
        <w:jc w:val="both"/>
        <w:rPr>
          <w:rFonts w:cs="Times New Roman"/>
          <w:sz w:val="24"/>
          <w:szCs w:val="24"/>
          <w:lang w:val="bg-BG"/>
        </w:rPr>
      </w:pPr>
      <w:r w:rsidRPr="00640CAD">
        <w:rPr>
          <w:rFonts w:cs="Times New Roman"/>
          <w:sz w:val="24"/>
          <w:szCs w:val="24"/>
          <w:lang w:val="bg-BG"/>
        </w:rPr>
        <w:t xml:space="preserve">Оперативна програма „Околна среда“: </w:t>
      </w:r>
    </w:p>
    <w:p w:rsidR="00D22F48" w:rsidRPr="00640CAD" w:rsidRDefault="00D22F48" w:rsidP="00BF6F4A">
      <w:pPr>
        <w:numPr>
          <w:ilvl w:val="0"/>
          <w:numId w:val="16"/>
        </w:numPr>
        <w:tabs>
          <w:tab w:val="clear" w:pos="720"/>
          <w:tab w:val="num" w:pos="1134"/>
        </w:tabs>
        <w:spacing w:after="120"/>
        <w:ind w:left="1134" w:hanging="283"/>
        <w:jc w:val="both"/>
        <w:rPr>
          <w:rFonts w:cs="Times New Roman"/>
          <w:sz w:val="24"/>
          <w:szCs w:val="24"/>
          <w:lang w:val="bg-BG"/>
        </w:rPr>
      </w:pPr>
      <w:r w:rsidRPr="00640CAD">
        <w:rPr>
          <w:rFonts w:cs="Times New Roman"/>
          <w:sz w:val="24"/>
          <w:szCs w:val="24"/>
          <w:lang w:val="bg-BG"/>
        </w:rPr>
        <w:t>информация за разходите за възнаграждения по експерти по една процедура по Приоритетна ос 3 „Биоразнообразие“, по която договорите за безвъзмездна помощ са сключени през 2012 г. - от 16 бюджета;</w:t>
      </w:r>
    </w:p>
    <w:p w:rsidR="00D22F48" w:rsidRPr="00640CAD" w:rsidRDefault="00D22F48" w:rsidP="00BF6F4A">
      <w:pPr>
        <w:numPr>
          <w:ilvl w:val="0"/>
          <w:numId w:val="16"/>
        </w:numPr>
        <w:tabs>
          <w:tab w:val="clear" w:pos="720"/>
          <w:tab w:val="num" w:pos="1134"/>
        </w:tabs>
        <w:spacing w:after="120"/>
        <w:ind w:left="1134" w:hanging="283"/>
        <w:jc w:val="both"/>
        <w:rPr>
          <w:rFonts w:cs="Times New Roman"/>
          <w:sz w:val="24"/>
          <w:szCs w:val="24"/>
          <w:lang w:val="bg-BG"/>
        </w:rPr>
      </w:pPr>
      <w:r w:rsidRPr="00640CAD">
        <w:rPr>
          <w:rFonts w:cs="Times New Roman"/>
          <w:sz w:val="24"/>
          <w:szCs w:val="24"/>
          <w:lang w:val="bg-BG"/>
        </w:rPr>
        <w:t>информация за разходите за възнаграждения по експерти, ангажирани в дейността по организация и управление - от 4 бюджета.</w:t>
      </w:r>
    </w:p>
    <w:p w:rsidR="00D22F48" w:rsidRPr="00640CAD" w:rsidRDefault="00D22F48" w:rsidP="00BF6F4A">
      <w:pPr>
        <w:numPr>
          <w:ilvl w:val="0"/>
          <w:numId w:val="15"/>
        </w:numPr>
        <w:tabs>
          <w:tab w:val="clear" w:pos="720"/>
          <w:tab w:val="num" w:pos="851"/>
        </w:tabs>
        <w:spacing w:after="120"/>
        <w:ind w:left="851" w:hanging="284"/>
        <w:jc w:val="both"/>
        <w:rPr>
          <w:rFonts w:cs="Times New Roman"/>
          <w:sz w:val="24"/>
          <w:szCs w:val="24"/>
          <w:lang w:val="bg-BG"/>
        </w:rPr>
      </w:pPr>
      <w:r w:rsidRPr="00640CAD">
        <w:rPr>
          <w:rFonts w:cs="Times New Roman"/>
          <w:sz w:val="24"/>
          <w:szCs w:val="24"/>
          <w:lang w:val="bg-BG"/>
        </w:rPr>
        <w:t>Програма за развитие на сектор „Рибарство“ – инвестиционни таблици, които съдържат информация за осреднена ставка на пет различни експерти, ангажирани в дейността по организация и управление на проекта.</w:t>
      </w:r>
    </w:p>
    <w:p w:rsidR="00D22F48" w:rsidRPr="00BF6F4A" w:rsidRDefault="00D22F48" w:rsidP="00D22F48">
      <w:pPr>
        <w:spacing w:after="120"/>
        <w:ind w:firstLine="567"/>
        <w:jc w:val="both"/>
        <w:rPr>
          <w:rFonts w:cs="Times New Roman"/>
          <w:i/>
          <w:sz w:val="24"/>
          <w:szCs w:val="24"/>
          <w:lang w:val="bg-BG"/>
        </w:rPr>
      </w:pPr>
      <w:r w:rsidRPr="00BF6F4A">
        <w:rPr>
          <w:rFonts w:cs="Times New Roman"/>
          <w:sz w:val="24"/>
          <w:szCs w:val="24"/>
          <w:lang w:val="bg-BG"/>
        </w:rPr>
        <w:t xml:space="preserve">Не е са получени бюджети, които да бъдат анализирани и </w:t>
      </w:r>
      <w:proofErr w:type="spellStart"/>
      <w:r w:rsidRPr="00BF6F4A">
        <w:rPr>
          <w:rFonts w:cs="Times New Roman"/>
          <w:sz w:val="24"/>
          <w:szCs w:val="24"/>
          <w:lang w:val="bg-BG"/>
        </w:rPr>
        <w:t>сводирани</w:t>
      </w:r>
      <w:proofErr w:type="spellEnd"/>
      <w:r w:rsidRPr="00BF6F4A">
        <w:rPr>
          <w:rFonts w:cs="Times New Roman"/>
          <w:sz w:val="24"/>
          <w:szCs w:val="24"/>
          <w:lang w:val="bg-BG"/>
        </w:rPr>
        <w:t xml:space="preserve"> за целите на унифициране на разходите за единица продукт от ОП „Развитие на човешките ресурси“ (приоритетни оси 1, 2, 5, 6, 7 и 8), ОП „Регионално развитие“ и ОП „Транспорт“. УО предоставиха други документи с полезна за целите на анализа информация.</w:t>
      </w:r>
    </w:p>
    <w:p w:rsidR="00D22F48" w:rsidRPr="00BF6F4A" w:rsidRDefault="00D22F48" w:rsidP="00D22F48">
      <w:pPr>
        <w:tabs>
          <w:tab w:val="left" w:pos="426"/>
        </w:tabs>
        <w:spacing w:after="120"/>
        <w:ind w:firstLine="567"/>
        <w:jc w:val="both"/>
        <w:rPr>
          <w:rFonts w:cs="Times New Roman"/>
          <w:i/>
          <w:color w:val="FF0000"/>
          <w:sz w:val="24"/>
          <w:szCs w:val="24"/>
          <w:lang w:val="bg-BG"/>
        </w:rPr>
      </w:pPr>
      <w:r w:rsidRPr="00BF6F4A">
        <w:rPr>
          <w:rFonts w:cs="Times New Roman"/>
          <w:i/>
          <w:sz w:val="24"/>
          <w:szCs w:val="24"/>
          <w:lang w:val="bg-BG"/>
        </w:rPr>
        <w:t xml:space="preserve">Информация, </w:t>
      </w:r>
      <w:r w:rsidR="00F42AE1" w:rsidRPr="00BF6F4A">
        <w:rPr>
          <w:rFonts w:cs="Times New Roman"/>
          <w:i/>
          <w:sz w:val="24"/>
          <w:szCs w:val="24"/>
          <w:lang w:val="bg-BG"/>
        </w:rPr>
        <w:t xml:space="preserve">предоставена </w:t>
      </w:r>
      <w:r w:rsidRPr="00BF6F4A">
        <w:rPr>
          <w:rFonts w:cs="Times New Roman"/>
          <w:i/>
          <w:sz w:val="24"/>
          <w:szCs w:val="24"/>
          <w:lang w:val="bg-BG"/>
        </w:rPr>
        <w:t>от социално-икономическите партньори</w:t>
      </w:r>
    </w:p>
    <w:p w:rsidR="00D22F48" w:rsidRPr="00640CAD" w:rsidRDefault="00D22F48" w:rsidP="00D22F48">
      <w:pPr>
        <w:tabs>
          <w:tab w:val="left" w:pos="426"/>
        </w:tabs>
        <w:spacing w:after="120"/>
        <w:ind w:firstLine="567"/>
        <w:jc w:val="both"/>
        <w:rPr>
          <w:rFonts w:cs="Times New Roman"/>
          <w:sz w:val="24"/>
          <w:szCs w:val="24"/>
          <w:lang w:val="bg-BG"/>
        </w:rPr>
      </w:pPr>
      <w:r w:rsidRPr="00640CAD">
        <w:rPr>
          <w:rFonts w:cs="Times New Roman"/>
          <w:sz w:val="24"/>
          <w:szCs w:val="24"/>
          <w:lang w:val="bg-BG"/>
        </w:rPr>
        <w:t>Получена е информация от:</w:t>
      </w:r>
    </w:p>
    <w:p w:rsidR="00D22F48" w:rsidRPr="00640CAD" w:rsidRDefault="00D22F48" w:rsidP="00BF6F4A">
      <w:pPr>
        <w:pStyle w:val="ListParagraph"/>
        <w:numPr>
          <w:ilvl w:val="0"/>
          <w:numId w:val="15"/>
        </w:numPr>
        <w:tabs>
          <w:tab w:val="clear" w:pos="720"/>
          <w:tab w:val="left" w:pos="426"/>
          <w:tab w:val="num" w:pos="851"/>
        </w:tabs>
        <w:spacing w:after="120"/>
        <w:ind w:left="851" w:hanging="284"/>
        <w:contextualSpacing w:val="0"/>
        <w:jc w:val="both"/>
        <w:rPr>
          <w:rFonts w:cs="Times New Roman"/>
          <w:sz w:val="24"/>
          <w:szCs w:val="24"/>
          <w:lang w:val="bg-BG"/>
        </w:rPr>
      </w:pPr>
      <w:r w:rsidRPr="00640CAD">
        <w:rPr>
          <w:rFonts w:cs="Times New Roman"/>
          <w:sz w:val="24"/>
          <w:szCs w:val="24"/>
          <w:lang w:val="bg-BG"/>
        </w:rPr>
        <w:t xml:space="preserve">Българска стопанска камара - обобщена информация за разходи за възнаграждения на екип за управление на проекта и за разходи за обучения за придобиване на ключови компетенции, организирани от </w:t>
      </w:r>
      <w:r>
        <w:rPr>
          <w:rFonts w:cs="Times New Roman"/>
          <w:sz w:val="24"/>
          <w:szCs w:val="24"/>
          <w:lang w:val="bg-BG"/>
        </w:rPr>
        <w:t>С</w:t>
      </w:r>
      <w:r w:rsidRPr="00640CAD">
        <w:rPr>
          <w:rFonts w:cs="Times New Roman"/>
          <w:sz w:val="24"/>
          <w:szCs w:val="24"/>
          <w:lang w:val="bg-BG"/>
        </w:rPr>
        <w:t>ъюза на българския</w:t>
      </w:r>
      <w:r>
        <w:rPr>
          <w:rFonts w:cs="Times New Roman"/>
          <w:sz w:val="24"/>
          <w:szCs w:val="24"/>
          <w:lang w:val="bg-BG"/>
        </w:rPr>
        <w:t xml:space="preserve"> </w:t>
      </w:r>
      <w:r w:rsidRPr="00640CAD">
        <w:rPr>
          <w:rFonts w:cs="Times New Roman"/>
          <w:sz w:val="24"/>
          <w:szCs w:val="24"/>
          <w:lang w:val="bg-BG"/>
        </w:rPr>
        <w:t xml:space="preserve">бизнес, в периода 2012-2013 г. </w:t>
      </w:r>
    </w:p>
    <w:p w:rsidR="00D22F48" w:rsidRPr="00640CAD" w:rsidRDefault="00D22F48" w:rsidP="00BF6F4A">
      <w:pPr>
        <w:pStyle w:val="ListParagraph"/>
        <w:numPr>
          <w:ilvl w:val="0"/>
          <w:numId w:val="15"/>
        </w:numPr>
        <w:tabs>
          <w:tab w:val="clear" w:pos="720"/>
          <w:tab w:val="left" w:pos="426"/>
          <w:tab w:val="num" w:pos="851"/>
        </w:tabs>
        <w:spacing w:after="120"/>
        <w:ind w:left="851" w:hanging="284"/>
        <w:contextualSpacing w:val="0"/>
        <w:jc w:val="both"/>
        <w:rPr>
          <w:rFonts w:cs="Times New Roman"/>
          <w:sz w:val="24"/>
          <w:szCs w:val="24"/>
          <w:lang w:val="bg-BG"/>
        </w:rPr>
      </w:pPr>
      <w:r w:rsidRPr="00640CAD">
        <w:rPr>
          <w:rFonts w:cs="Times New Roman"/>
          <w:sz w:val="24"/>
          <w:szCs w:val="24"/>
          <w:lang w:val="bg-BG"/>
        </w:rPr>
        <w:t>АИКБ – попълнена анкетна карта;</w:t>
      </w:r>
    </w:p>
    <w:p w:rsidR="00D22F48" w:rsidRPr="00640CAD" w:rsidRDefault="00D22F48" w:rsidP="00BF6F4A">
      <w:pPr>
        <w:pStyle w:val="ListParagraph"/>
        <w:numPr>
          <w:ilvl w:val="0"/>
          <w:numId w:val="15"/>
        </w:numPr>
        <w:tabs>
          <w:tab w:val="clear" w:pos="720"/>
          <w:tab w:val="left" w:pos="426"/>
          <w:tab w:val="num" w:pos="851"/>
        </w:tabs>
        <w:spacing w:after="120"/>
        <w:ind w:left="851" w:hanging="284"/>
        <w:contextualSpacing w:val="0"/>
        <w:jc w:val="both"/>
        <w:rPr>
          <w:rFonts w:cs="Times New Roman"/>
          <w:sz w:val="24"/>
          <w:szCs w:val="24"/>
          <w:lang w:val="bg-BG"/>
        </w:rPr>
      </w:pPr>
      <w:r w:rsidRPr="00640CAD">
        <w:rPr>
          <w:rFonts w:cs="Times New Roman"/>
          <w:sz w:val="24"/>
          <w:szCs w:val="24"/>
          <w:lang w:val="bg-BG"/>
        </w:rPr>
        <w:t>НСОРБ – попълнена анкетна карта;</w:t>
      </w:r>
    </w:p>
    <w:p w:rsidR="00D22F48" w:rsidRPr="00640CAD" w:rsidRDefault="00D22F48" w:rsidP="00BF6F4A">
      <w:pPr>
        <w:pStyle w:val="ListParagraph"/>
        <w:numPr>
          <w:ilvl w:val="0"/>
          <w:numId w:val="15"/>
        </w:numPr>
        <w:tabs>
          <w:tab w:val="clear" w:pos="720"/>
          <w:tab w:val="left" w:pos="426"/>
          <w:tab w:val="num" w:pos="851"/>
        </w:tabs>
        <w:spacing w:after="120"/>
        <w:ind w:left="851" w:hanging="284"/>
        <w:contextualSpacing w:val="0"/>
        <w:jc w:val="both"/>
        <w:rPr>
          <w:rFonts w:cs="Times New Roman"/>
          <w:sz w:val="24"/>
          <w:szCs w:val="24"/>
          <w:lang w:val="bg-BG"/>
        </w:rPr>
      </w:pPr>
      <w:r w:rsidRPr="00640CAD">
        <w:rPr>
          <w:rFonts w:cs="Times New Roman"/>
          <w:sz w:val="24"/>
          <w:szCs w:val="24"/>
          <w:lang w:val="bg-BG"/>
        </w:rPr>
        <w:t>БТПП – по електронната поща е получена информация за:</w:t>
      </w:r>
    </w:p>
    <w:p w:rsidR="00D22F48" w:rsidRPr="00640CAD" w:rsidRDefault="00D22F48" w:rsidP="00BF6F4A">
      <w:pPr>
        <w:pStyle w:val="ListParagraph"/>
        <w:numPr>
          <w:ilvl w:val="0"/>
          <w:numId w:val="18"/>
        </w:numPr>
        <w:tabs>
          <w:tab w:val="left" w:pos="426"/>
        </w:tabs>
        <w:spacing w:after="120"/>
        <w:ind w:left="1134" w:hanging="283"/>
        <w:contextualSpacing w:val="0"/>
        <w:jc w:val="both"/>
        <w:rPr>
          <w:rFonts w:cs="Times New Roman"/>
          <w:sz w:val="24"/>
          <w:szCs w:val="24"/>
          <w:lang w:val="bg-BG"/>
        </w:rPr>
      </w:pPr>
      <w:r w:rsidRPr="00640CAD">
        <w:rPr>
          <w:rFonts w:cs="Times New Roman"/>
          <w:sz w:val="24"/>
          <w:szCs w:val="24"/>
          <w:lang w:val="bg-BG"/>
        </w:rPr>
        <w:t xml:space="preserve">ставки на експерти по програмата COSME 2015, и </w:t>
      </w:r>
    </w:p>
    <w:p w:rsidR="00D22F48" w:rsidRPr="00640CAD" w:rsidRDefault="00D22F48" w:rsidP="00BF6F4A">
      <w:pPr>
        <w:pStyle w:val="ListParagraph"/>
        <w:numPr>
          <w:ilvl w:val="0"/>
          <w:numId w:val="18"/>
        </w:numPr>
        <w:tabs>
          <w:tab w:val="left" w:pos="426"/>
        </w:tabs>
        <w:spacing w:after="120"/>
        <w:ind w:left="1134" w:hanging="283"/>
        <w:contextualSpacing w:val="0"/>
        <w:jc w:val="both"/>
        <w:rPr>
          <w:rFonts w:cs="Times New Roman"/>
          <w:sz w:val="24"/>
          <w:szCs w:val="24"/>
          <w:lang w:val="bg-BG"/>
        </w:rPr>
      </w:pPr>
      <w:r w:rsidRPr="00640CAD">
        <w:rPr>
          <w:rFonts w:cs="Times New Roman"/>
          <w:sz w:val="24"/>
          <w:szCs w:val="24"/>
          <w:lang w:val="bg-BG"/>
        </w:rPr>
        <w:t>ставки на експерти по LLP 2013;</w:t>
      </w:r>
    </w:p>
    <w:p w:rsidR="00D22F48" w:rsidRPr="00640CAD" w:rsidRDefault="00D22F48" w:rsidP="00BF6F4A">
      <w:pPr>
        <w:pStyle w:val="ListParagraph"/>
        <w:numPr>
          <w:ilvl w:val="0"/>
          <w:numId w:val="15"/>
        </w:numPr>
        <w:tabs>
          <w:tab w:val="clear" w:pos="720"/>
          <w:tab w:val="left" w:pos="426"/>
          <w:tab w:val="num" w:pos="851"/>
        </w:tabs>
        <w:spacing w:after="120"/>
        <w:ind w:left="851" w:hanging="284"/>
        <w:contextualSpacing w:val="0"/>
        <w:jc w:val="both"/>
        <w:rPr>
          <w:rFonts w:cs="Times New Roman"/>
          <w:sz w:val="24"/>
          <w:szCs w:val="24"/>
          <w:lang w:val="bg-BG"/>
        </w:rPr>
      </w:pPr>
      <w:r w:rsidRPr="00640CAD">
        <w:rPr>
          <w:rFonts w:cs="Times New Roman"/>
          <w:sz w:val="24"/>
          <w:szCs w:val="24"/>
          <w:lang w:val="bg-BG"/>
        </w:rPr>
        <w:t>НИП – получени са 5 броя бюджети, съдържащи информация за изпълнявани дейности и възнаграждения на експерти.</w:t>
      </w:r>
    </w:p>
    <w:p w:rsidR="00D22F48" w:rsidRPr="00BF6F4A" w:rsidRDefault="00F42AE1" w:rsidP="00D22F48">
      <w:pPr>
        <w:tabs>
          <w:tab w:val="left" w:pos="426"/>
        </w:tabs>
        <w:spacing w:after="120"/>
        <w:ind w:firstLine="567"/>
        <w:jc w:val="both"/>
        <w:rPr>
          <w:rFonts w:cs="Times New Roman"/>
          <w:b/>
          <w:sz w:val="24"/>
          <w:szCs w:val="24"/>
          <w:lang w:val="bg-BG"/>
        </w:rPr>
      </w:pPr>
      <w:r w:rsidRPr="00BF6F4A">
        <w:rPr>
          <w:rFonts w:cs="Times New Roman"/>
          <w:b/>
          <w:sz w:val="24"/>
          <w:szCs w:val="24"/>
          <w:lang w:val="bg-BG"/>
        </w:rPr>
        <w:t>О</w:t>
      </w:r>
      <w:r w:rsidR="00D22F48" w:rsidRPr="00BF6F4A">
        <w:rPr>
          <w:rFonts w:cs="Times New Roman"/>
          <w:b/>
          <w:sz w:val="24"/>
          <w:szCs w:val="24"/>
          <w:lang w:val="bg-BG"/>
        </w:rPr>
        <w:t xml:space="preserve">станалите СИП не </w:t>
      </w:r>
      <w:r w:rsidRPr="00BF6F4A">
        <w:rPr>
          <w:rFonts w:cs="Times New Roman"/>
          <w:b/>
          <w:sz w:val="24"/>
          <w:szCs w:val="24"/>
          <w:lang w:val="bg-BG"/>
        </w:rPr>
        <w:t xml:space="preserve">са предоставили </w:t>
      </w:r>
      <w:r w:rsidR="00D22F48" w:rsidRPr="00BF6F4A">
        <w:rPr>
          <w:rFonts w:cs="Times New Roman"/>
          <w:b/>
          <w:sz w:val="24"/>
          <w:szCs w:val="24"/>
          <w:lang w:val="bg-BG"/>
        </w:rPr>
        <w:t>информация.</w:t>
      </w:r>
    </w:p>
    <w:p w:rsidR="00BF6F4A" w:rsidRPr="00BF6F4A" w:rsidRDefault="00F42AE1" w:rsidP="00BF6F4A">
      <w:pPr>
        <w:pStyle w:val="Heading1"/>
        <w:numPr>
          <w:ilvl w:val="0"/>
          <w:numId w:val="11"/>
        </w:numPr>
        <w:spacing w:before="0" w:after="120"/>
        <w:jc w:val="both"/>
        <w:rPr>
          <w:smallCaps/>
          <w:sz w:val="28"/>
          <w:lang w:val="bg-BG"/>
        </w:rPr>
      </w:pPr>
      <w:r w:rsidRPr="00BF6F4A">
        <w:rPr>
          <w:smallCaps/>
          <w:sz w:val="28"/>
          <w:lang w:val="bg-BG"/>
        </w:rPr>
        <w:t xml:space="preserve">Специфични особености </w:t>
      </w:r>
      <w:r w:rsidR="00D22F48" w:rsidRPr="00BF6F4A">
        <w:rPr>
          <w:smallCaps/>
          <w:sz w:val="28"/>
          <w:lang w:val="bg-BG"/>
        </w:rPr>
        <w:t xml:space="preserve">при изпълнението на настоящото изследване </w:t>
      </w:r>
    </w:p>
    <w:p w:rsidR="00BF6F4A" w:rsidRPr="00BF6F4A" w:rsidRDefault="00BF6F4A" w:rsidP="00BF6F4A">
      <w:pPr>
        <w:spacing w:after="120"/>
        <w:ind w:firstLine="567"/>
        <w:jc w:val="both"/>
        <w:rPr>
          <w:rFonts w:eastAsia="Calibri" w:cs="Times New Roman"/>
          <w:sz w:val="24"/>
          <w:szCs w:val="24"/>
          <w:lang w:val="bg-BG"/>
        </w:rPr>
      </w:pPr>
      <w:r w:rsidRPr="00BF6F4A">
        <w:rPr>
          <w:rFonts w:eastAsia="Calibri" w:cs="Times New Roman"/>
          <w:sz w:val="24"/>
          <w:szCs w:val="24"/>
          <w:lang w:val="bg-BG"/>
        </w:rPr>
        <w:t xml:space="preserve">Настоящото изследване и направените конкретни изчисления са силно повлияни от следните важни обстоятелства: </w:t>
      </w:r>
    </w:p>
    <w:p w:rsidR="00BF6F4A" w:rsidRPr="00BF6F4A" w:rsidRDefault="00BF6F4A" w:rsidP="00BF6F4A">
      <w:pPr>
        <w:spacing w:after="120"/>
        <w:ind w:firstLine="567"/>
        <w:jc w:val="both"/>
        <w:rPr>
          <w:rFonts w:eastAsia="Calibri" w:cs="Times New Roman"/>
          <w:sz w:val="24"/>
          <w:szCs w:val="24"/>
          <w:lang w:val="bg-BG"/>
        </w:rPr>
      </w:pPr>
      <w:r w:rsidRPr="00BF6F4A">
        <w:rPr>
          <w:rFonts w:eastAsia="Calibri" w:cs="Times New Roman"/>
          <w:sz w:val="24"/>
          <w:szCs w:val="24"/>
          <w:lang w:val="bg-BG"/>
        </w:rPr>
        <w:t xml:space="preserve">А) Налице са множество ограничения за достъп до релевантна на предмета на изследването информация и особено в систематизиран вид, която да отговоря на изискванията на Регламент №1303/2013 г., доколкото институциите и другите заинтересовани страни за които се предполага, че би трябвало да поддържат такава информация не я предоставиха за целите на изследването; </w:t>
      </w:r>
    </w:p>
    <w:p w:rsidR="00BF6F4A" w:rsidRPr="00BF6F4A" w:rsidRDefault="00BF6F4A" w:rsidP="00BF6F4A">
      <w:pPr>
        <w:spacing w:after="120"/>
        <w:ind w:firstLine="567"/>
        <w:jc w:val="both"/>
        <w:rPr>
          <w:rFonts w:eastAsia="Calibri" w:cs="Times New Roman"/>
          <w:sz w:val="24"/>
          <w:szCs w:val="24"/>
          <w:lang w:val="bg-BG"/>
        </w:rPr>
      </w:pPr>
      <w:r w:rsidRPr="00BF6F4A">
        <w:rPr>
          <w:rFonts w:eastAsia="Calibri" w:cs="Times New Roman"/>
          <w:sz w:val="24"/>
          <w:szCs w:val="24"/>
          <w:lang w:val="bg-BG"/>
        </w:rPr>
        <w:t>Б) Качеството на наличната информация за проектите от предходния програмен период, както на първично ниво, по бюджети, така и по отношение на обобщеност и поддържане на статистически изчислими показатели в определени аналитични разрези и на унифицираност,( на ниво оперативна програма и на национално ниво в ИСУН);</w:t>
      </w:r>
    </w:p>
    <w:p w:rsidR="00BF6F4A" w:rsidRPr="00BF6F4A" w:rsidRDefault="00BF6F4A" w:rsidP="00BF6F4A">
      <w:pPr>
        <w:spacing w:after="120"/>
        <w:ind w:firstLine="567"/>
        <w:jc w:val="both"/>
        <w:rPr>
          <w:rFonts w:eastAsia="Calibri" w:cs="Times New Roman"/>
          <w:sz w:val="24"/>
          <w:szCs w:val="24"/>
          <w:lang w:val="bg-BG"/>
        </w:rPr>
      </w:pPr>
      <w:r w:rsidRPr="00BF6F4A">
        <w:rPr>
          <w:rFonts w:eastAsia="Calibri" w:cs="Times New Roman"/>
          <w:sz w:val="24"/>
          <w:szCs w:val="24"/>
          <w:lang w:val="bg-BG"/>
        </w:rPr>
        <w:t xml:space="preserve">В) В предходния програмен период не са определяни дейности по оперативни програми, които приоритетно да са наблюдавани с цел въвеждане на опции за опростено ценообразуване; </w:t>
      </w:r>
    </w:p>
    <w:p w:rsidR="00BF6F4A" w:rsidRPr="00BF6F4A" w:rsidRDefault="00BF6F4A" w:rsidP="00BF6F4A">
      <w:pPr>
        <w:spacing w:after="120"/>
        <w:ind w:firstLine="567"/>
        <w:jc w:val="both"/>
        <w:rPr>
          <w:rFonts w:eastAsia="Calibri" w:cs="Times New Roman"/>
          <w:sz w:val="24"/>
          <w:szCs w:val="24"/>
          <w:lang w:val="bg-BG"/>
        </w:rPr>
      </w:pPr>
      <w:r w:rsidRPr="00BF6F4A">
        <w:rPr>
          <w:rFonts w:eastAsia="Calibri" w:cs="Times New Roman"/>
          <w:sz w:val="24"/>
          <w:szCs w:val="24"/>
          <w:lang w:val="bg-BG"/>
        </w:rPr>
        <w:t xml:space="preserve">Г) Налице е ограничена активност в съдействието и мотивацията на заинтересованите страни, особено от страна на социално-икономическите партньори. </w:t>
      </w:r>
    </w:p>
    <w:p w:rsidR="00BF6F4A" w:rsidRPr="00BF6F4A" w:rsidRDefault="00BF6F4A" w:rsidP="00BF6F4A">
      <w:pPr>
        <w:spacing w:after="120"/>
        <w:ind w:firstLine="567"/>
        <w:jc w:val="both"/>
        <w:rPr>
          <w:rFonts w:eastAsia="Calibri" w:cs="Times New Roman"/>
          <w:sz w:val="24"/>
          <w:szCs w:val="24"/>
          <w:lang w:val="bg-BG"/>
        </w:rPr>
      </w:pPr>
      <w:r w:rsidRPr="00BF6F4A">
        <w:rPr>
          <w:rFonts w:eastAsia="Calibri" w:cs="Times New Roman"/>
          <w:sz w:val="24"/>
          <w:szCs w:val="24"/>
          <w:lang w:val="bg-BG"/>
        </w:rPr>
        <w:t>Д) В допълнение на горепосоченото, от цялостния анализ на получената информация за историческите данни за предходния период може да се добавят и следните констатации:</w:t>
      </w:r>
    </w:p>
    <w:p w:rsidR="00BF6F4A" w:rsidRPr="00BF6F4A" w:rsidRDefault="00BF6F4A" w:rsidP="00BF6F4A">
      <w:pPr>
        <w:numPr>
          <w:ilvl w:val="0"/>
          <w:numId w:val="13"/>
        </w:numPr>
        <w:tabs>
          <w:tab w:val="left" w:pos="851"/>
        </w:tabs>
        <w:spacing w:after="120"/>
        <w:ind w:left="851" w:hanging="284"/>
        <w:jc w:val="both"/>
        <w:rPr>
          <w:rFonts w:eastAsia="Calibri" w:cs="Times New Roman"/>
          <w:sz w:val="24"/>
          <w:szCs w:val="24"/>
          <w:lang w:val="bg-BG"/>
        </w:rPr>
      </w:pPr>
      <w:r w:rsidRPr="00BF6F4A">
        <w:rPr>
          <w:rFonts w:eastAsia="Calibri" w:cs="Times New Roman"/>
          <w:sz w:val="24"/>
          <w:szCs w:val="24"/>
          <w:lang w:val="bg-BG"/>
        </w:rPr>
        <w:t xml:space="preserve">На национално ниво се наблюдават данни в коренно различни разрези, които не се релевантни за предмета на настоящото изследване, и НСИ не би могло да се използва като възможен </w:t>
      </w:r>
      <w:r w:rsidRPr="00BF6F4A">
        <w:rPr>
          <w:rFonts w:eastAsia="Calibri" w:cs="Times New Roman"/>
          <w:sz w:val="24"/>
          <w:szCs w:val="24"/>
        </w:rPr>
        <w:t xml:space="preserve">и </w:t>
      </w:r>
      <w:r w:rsidRPr="00BF6F4A">
        <w:rPr>
          <w:rFonts w:eastAsia="Calibri" w:cs="Times New Roman"/>
          <w:sz w:val="24"/>
          <w:szCs w:val="24"/>
          <w:lang w:val="bg-BG"/>
        </w:rPr>
        <w:t>директен</w:t>
      </w:r>
      <w:r w:rsidRPr="00BF6F4A">
        <w:rPr>
          <w:rFonts w:eastAsia="Calibri" w:cs="Times New Roman"/>
          <w:sz w:val="24"/>
          <w:szCs w:val="24"/>
        </w:rPr>
        <w:t xml:space="preserve"> </w:t>
      </w:r>
      <w:r w:rsidRPr="00BF6F4A">
        <w:rPr>
          <w:rFonts w:eastAsia="Calibri" w:cs="Times New Roman"/>
          <w:sz w:val="24"/>
          <w:szCs w:val="24"/>
          <w:lang w:val="bg-BG"/>
        </w:rPr>
        <w:t xml:space="preserve">източник със </w:t>
      </w:r>
      <w:proofErr w:type="spellStart"/>
      <w:r w:rsidRPr="00BF6F4A">
        <w:rPr>
          <w:rFonts w:eastAsia="Calibri" w:cs="Times New Roman"/>
          <w:sz w:val="24"/>
          <w:szCs w:val="24"/>
          <w:lang w:val="bg-BG"/>
        </w:rPr>
        <w:t>проследяема</w:t>
      </w:r>
      <w:proofErr w:type="spellEnd"/>
      <w:r w:rsidRPr="00BF6F4A">
        <w:rPr>
          <w:rFonts w:eastAsia="Calibri" w:cs="Times New Roman"/>
          <w:sz w:val="24"/>
          <w:szCs w:val="24"/>
          <w:lang w:val="bg-BG"/>
        </w:rPr>
        <w:t xml:space="preserve"> и доказуема статистическа информация. </w:t>
      </w:r>
    </w:p>
    <w:p w:rsidR="00BF6F4A" w:rsidRPr="00BF6F4A" w:rsidRDefault="00BF6F4A" w:rsidP="00BF6F4A">
      <w:pPr>
        <w:numPr>
          <w:ilvl w:val="0"/>
          <w:numId w:val="13"/>
        </w:numPr>
        <w:tabs>
          <w:tab w:val="left" w:pos="851"/>
        </w:tabs>
        <w:spacing w:after="120"/>
        <w:ind w:left="851" w:hanging="284"/>
        <w:jc w:val="both"/>
        <w:rPr>
          <w:rFonts w:eastAsia="Calibri" w:cs="Times New Roman"/>
          <w:sz w:val="24"/>
          <w:szCs w:val="24"/>
          <w:lang w:val="bg-BG"/>
        </w:rPr>
      </w:pPr>
      <w:r w:rsidRPr="00BF6F4A">
        <w:rPr>
          <w:rFonts w:eastAsia="Calibri" w:cs="Times New Roman"/>
          <w:sz w:val="24"/>
          <w:szCs w:val="24"/>
          <w:lang w:val="bg-BG"/>
        </w:rPr>
        <w:t>Качеството на получената информация и форматът на източниците на първични данни (бюджети) силно затрудниха и забавиха първоначалното й обработване до вариант възможен за статистическа обработка, което се дължи главно на:</w:t>
      </w:r>
    </w:p>
    <w:p w:rsidR="00BF6F4A" w:rsidRPr="00BF6F4A" w:rsidRDefault="00BF6F4A" w:rsidP="00BF6F4A">
      <w:pPr>
        <w:numPr>
          <w:ilvl w:val="0"/>
          <w:numId w:val="12"/>
        </w:numPr>
        <w:spacing w:after="120"/>
        <w:ind w:left="1134" w:hanging="283"/>
        <w:jc w:val="both"/>
        <w:rPr>
          <w:rFonts w:eastAsia="Calibri" w:cs="Times New Roman"/>
          <w:sz w:val="24"/>
          <w:szCs w:val="24"/>
          <w:lang w:val="bg-BG"/>
        </w:rPr>
      </w:pPr>
      <w:r w:rsidRPr="00BF6F4A">
        <w:rPr>
          <w:rFonts w:eastAsia="Calibri" w:cs="Times New Roman"/>
          <w:sz w:val="24"/>
          <w:szCs w:val="24"/>
          <w:lang w:val="bg-BG"/>
        </w:rPr>
        <w:t>Използване на различна матрица (формат) за бюджет при различните ОП и различен подход на попълване на бюджетите и данните по тях;</w:t>
      </w:r>
    </w:p>
    <w:p w:rsidR="00BF6F4A" w:rsidRPr="00BF6F4A" w:rsidRDefault="00BF6F4A" w:rsidP="00BF6F4A">
      <w:pPr>
        <w:numPr>
          <w:ilvl w:val="0"/>
          <w:numId w:val="12"/>
        </w:numPr>
        <w:spacing w:after="120"/>
        <w:ind w:left="1134" w:hanging="283"/>
        <w:jc w:val="both"/>
        <w:rPr>
          <w:rFonts w:eastAsia="Calibri" w:cs="Times New Roman"/>
          <w:sz w:val="24"/>
          <w:szCs w:val="24"/>
          <w:lang w:val="bg-BG"/>
        </w:rPr>
      </w:pPr>
      <w:r w:rsidRPr="00BF6F4A">
        <w:rPr>
          <w:rFonts w:eastAsia="Calibri" w:cs="Times New Roman"/>
          <w:sz w:val="24"/>
          <w:szCs w:val="24"/>
          <w:lang w:val="bg-BG"/>
        </w:rPr>
        <w:t>Липса на индикатори за съотнасяне на отделните данни за разходите в бюджетите спрямо изследваните 15 дейности (вж. още „Ограничения, приложими към източниците на информация“);</w:t>
      </w:r>
    </w:p>
    <w:p w:rsidR="00BF6F4A" w:rsidRPr="00BF6F4A" w:rsidRDefault="00BF6F4A" w:rsidP="00BF6F4A">
      <w:pPr>
        <w:numPr>
          <w:ilvl w:val="0"/>
          <w:numId w:val="12"/>
        </w:numPr>
        <w:spacing w:after="120"/>
        <w:ind w:left="1134" w:hanging="283"/>
        <w:jc w:val="both"/>
        <w:rPr>
          <w:rFonts w:eastAsia="Calibri" w:cs="Times New Roman"/>
          <w:sz w:val="24"/>
          <w:szCs w:val="24"/>
          <w:lang w:val="bg-BG"/>
        </w:rPr>
      </w:pPr>
      <w:r w:rsidRPr="00BF6F4A">
        <w:rPr>
          <w:rFonts w:eastAsia="Calibri" w:cs="Times New Roman"/>
          <w:sz w:val="24"/>
          <w:szCs w:val="24"/>
          <w:lang w:val="bg-BG"/>
        </w:rPr>
        <w:t xml:space="preserve">Липса на информация за вида и нивото на експертиза на лицето, за което се </w:t>
      </w:r>
      <w:proofErr w:type="spellStart"/>
      <w:r w:rsidRPr="00BF6F4A">
        <w:rPr>
          <w:rFonts w:eastAsia="Calibri" w:cs="Times New Roman"/>
          <w:sz w:val="24"/>
          <w:szCs w:val="24"/>
          <w:lang w:val="bg-BG"/>
        </w:rPr>
        <w:t>бюджетира</w:t>
      </w:r>
      <w:proofErr w:type="spellEnd"/>
      <w:r w:rsidRPr="00BF6F4A">
        <w:rPr>
          <w:rFonts w:eastAsia="Calibri" w:cs="Times New Roman"/>
          <w:sz w:val="24"/>
          <w:szCs w:val="24"/>
          <w:lang w:val="bg-BG"/>
        </w:rPr>
        <w:t xml:space="preserve"> възнаграждението, както и в каква дейност или </w:t>
      </w:r>
      <w:proofErr w:type="spellStart"/>
      <w:r w:rsidRPr="00BF6F4A">
        <w:rPr>
          <w:rFonts w:eastAsia="Calibri" w:cs="Times New Roman"/>
          <w:sz w:val="24"/>
          <w:szCs w:val="24"/>
          <w:lang w:val="bg-BG"/>
        </w:rPr>
        <w:t>поддейност</w:t>
      </w:r>
      <w:proofErr w:type="spellEnd"/>
      <w:r w:rsidRPr="00BF6F4A">
        <w:rPr>
          <w:rFonts w:eastAsia="Calibri" w:cs="Times New Roman"/>
          <w:sz w:val="24"/>
          <w:szCs w:val="24"/>
          <w:lang w:val="bg-BG"/>
        </w:rPr>
        <w:t xml:space="preserve"> по проекта са ангажирани (вж. още „Ограничения, приложими към източниците на информация“);</w:t>
      </w:r>
    </w:p>
    <w:p w:rsidR="00BF6F4A" w:rsidRPr="00BF6F4A" w:rsidRDefault="00BF6F4A" w:rsidP="00BF6F4A">
      <w:pPr>
        <w:numPr>
          <w:ilvl w:val="0"/>
          <w:numId w:val="12"/>
        </w:numPr>
        <w:spacing w:after="120"/>
        <w:ind w:left="1134" w:hanging="283"/>
        <w:jc w:val="both"/>
        <w:rPr>
          <w:rFonts w:eastAsia="Calibri" w:cs="Times New Roman"/>
          <w:sz w:val="24"/>
          <w:szCs w:val="24"/>
          <w:lang w:val="bg-BG"/>
        </w:rPr>
      </w:pPr>
      <w:r w:rsidRPr="00BF6F4A">
        <w:rPr>
          <w:rFonts w:eastAsia="Calibri" w:cs="Times New Roman"/>
          <w:sz w:val="24"/>
          <w:szCs w:val="24"/>
          <w:lang w:val="bg-BG"/>
        </w:rPr>
        <w:t xml:space="preserve">Липса на точна информация за продължителността на работното време и/или отработените часове на експертите, за които се </w:t>
      </w:r>
      <w:proofErr w:type="spellStart"/>
      <w:r w:rsidRPr="00BF6F4A">
        <w:rPr>
          <w:rFonts w:eastAsia="Calibri" w:cs="Times New Roman"/>
          <w:sz w:val="24"/>
          <w:szCs w:val="24"/>
          <w:lang w:val="bg-BG"/>
        </w:rPr>
        <w:t>бюджетира</w:t>
      </w:r>
      <w:proofErr w:type="spellEnd"/>
      <w:r w:rsidRPr="00BF6F4A">
        <w:rPr>
          <w:rFonts w:eastAsia="Calibri" w:cs="Times New Roman"/>
          <w:sz w:val="24"/>
          <w:szCs w:val="24"/>
          <w:lang w:val="bg-BG"/>
        </w:rPr>
        <w:t xml:space="preserve"> възнаграждението;</w:t>
      </w:r>
    </w:p>
    <w:p w:rsidR="00BF6F4A" w:rsidRPr="00BF6F4A" w:rsidRDefault="00BF6F4A" w:rsidP="00BF6F4A">
      <w:pPr>
        <w:numPr>
          <w:ilvl w:val="0"/>
          <w:numId w:val="12"/>
        </w:numPr>
        <w:spacing w:after="120"/>
        <w:ind w:left="1134" w:hanging="283"/>
        <w:jc w:val="both"/>
        <w:rPr>
          <w:rFonts w:eastAsia="Calibri" w:cs="Times New Roman"/>
          <w:sz w:val="24"/>
          <w:szCs w:val="24"/>
          <w:lang w:val="bg-BG"/>
        </w:rPr>
      </w:pPr>
      <w:r w:rsidRPr="00BF6F4A">
        <w:rPr>
          <w:rFonts w:eastAsia="Calibri" w:cs="Times New Roman"/>
          <w:sz w:val="24"/>
          <w:szCs w:val="24"/>
          <w:lang w:val="bg-BG"/>
        </w:rPr>
        <w:t xml:space="preserve">Липса на достатъчна нефинансова информация за дейностите от първа група (дейности със стандартизиране чрез изчисляване на унифицирани ставки на единица продукт, различен от часова ставка), в т.ч. обхвата на дейността (като отделни </w:t>
      </w:r>
      <w:proofErr w:type="spellStart"/>
      <w:r w:rsidRPr="00BF6F4A">
        <w:rPr>
          <w:rFonts w:eastAsia="Calibri" w:cs="Times New Roman"/>
          <w:sz w:val="24"/>
          <w:szCs w:val="24"/>
          <w:lang w:val="bg-BG"/>
        </w:rPr>
        <w:t>поддейности</w:t>
      </w:r>
      <w:proofErr w:type="spellEnd"/>
      <w:r w:rsidRPr="00BF6F4A">
        <w:rPr>
          <w:rFonts w:eastAsia="Calibri" w:cs="Times New Roman"/>
          <w:sz w:val="24"/>
          <w:szCs w:val="24"/>
          <w:lang w:val="bg-BG"/>
        </w:rPr>
        <w:t xml:space="preserve">), брой участници, продължителност на събитието, тип и </w:t>
      </w:r>
      <w:proofErr w:type="spellStart"/>
      <w:r w:rsidRPr="00BF6F4A">
        <w:rPr>
          <w:rFonts w:eastAsia="Calibri" w:cs="Times New Roman"/>
          <w:sz w:val="24"/>
          <w:szCs w:val="24"/>
          <w:lang w:val="bg-BG"/>
        </w:rPr>
        <w:t>тематичност</w:t>
      </w:r>
      <w:proofErr w:type="spellEnd"/>
      <w:r w:rsidRPr="00BF6F4A">
        <w:rPr>
          <w:rFonts w:eastAsia="Calibri" w:cs="Times New Roman"/>
          <w:sz w:val="24"/>
          <w:szCs w:val="24"/>
          <w:lang w:val="bg-BG"/>
        </w:rPr>
        <w:t xml:space="preserve"> (вж. още „Ограничения, приложими към източниците на информация“);</w:t>
      </w:r>
    </w:p>
    <w:p w:rsidR="00BF6F4A" w:rsidRPr="00BF6F4A" w:rsidRDefault="00BF6F4A" w:rsidP="00BF6F4A">
      <w:pPr>
        <w:numPr>
          <w:ilvl w:val="0"/>
          <w:numId w:val="12"/>
        </w:numPr>
        <w:spacing w:after="120"/>
        <w:ind w:left="1134" w:hanging="283"/>
        <w:jc w:val="both"/>
        <w:rPr>
          <w:rFonts w:eastAsia="Calibri" w:cs="Times New Roman"/>
          <w:sz w:val="24"/>
          <w:szCs w:val="24"/>
          <w:lang w:val="bg-BG"/>
        </w:rPr>
      </w:pPr>
      <w:r w:rsidRPr="00BF6F4A">
        <w:rPr>
          <w:rFonts w:eastAsia="Calibri" w:cs="Times New Roman"/>
          <w:sz w:val="24"/>
          <w:szCs w:val="24"/>
          <w:lang w:val="bg-BG"/>
        </w:rPr>
        <w:t>Различни видове разходи за една и съща дейност/</w:t>
      </w:r>
      <w:proofErr w:type="spellStart"/>
      <w:r w:rsidRPr="00BF6F4A">
        <w:rPr>
          <w:rFonts w:eastAsia="Calibri" w:cs="Times New Roman"/>
          <w:sz w:val="24"/>
          <w:szCs w:val="24"/>
          <w:lang w:val="bg-BG"/>
        </w:rPr>
        <w:t>поддейност</w:t>
      </w:r>
      <w:proofErr w:type="spellEnd"/>
      <w:r w:rsidRPr="00BF6F4A">
        <w:rPr>
          <w:rFonts w:eastAsia="Calibri" w:cs="Times New Roman"/>
          <w:sz w:val="24"/>
          <w:szCs w:val="24"/>
          <w:lang w:val="bg-BG"/>
        </w:rPr>
        <w:t xml:space="preserve"> са представени като различни разходни елементи в бюджета, като понякога липсва достатъчно информация, че са </w:t>
      </w:r>
      <w:proofErr w:type="spellStart"/>
      <w:r w:rsidRPr="00BF6F4A">
        <w:rPr>
          <w:rFonts w:eastAsia="Calibri" w:cs="Times New Roman"/>
          <w:sz w:val="24"/>
          <w:szCs w:val="24"/>
          <w:lang w:val="bg-BG"/>
        </w:rPr>
        <w:t>съотносими</w:t>
      </w:r>
      <w:proofErr w:type="spellEnd"/>
      <w:r w:rsidRPr="00BF6F4A">
        <w:rPr>
          <w:rFonts w:eastAsia="Calibri" w:cs="Times New Roman"/>
          <w:sz w:val="24"/>
          <w:szCs w:val="24"/>
          <w:lang w:val="bg-BG"/>
        </w:rPr>
        <w:t xml:space="preserve"> за една и съща дейност (вж. още „Ограничения, приложими към източниците на информация“).</w:t>
      </w:r>
    </w:p>
    <w:p w:rsidR="00D22F48" w:rsidRDefault="00BF6F4A" w:rsidP="00D22F48">
      <w:pPr>
        <w:ind w:firstLine="567"/>
        <w:jc w:val="both"/>
        <w:rPr>
          <w:rFonts w:eastAsia="Calibri" w:cs="Times New Roman"/>
          <w:sz w:val="24"/>
          <w:szCs w:val="24"/>
          <w:lang w:val="bg-BG"/>
        </w:rPr>
      </w:pPr>
      <w:r w:rsidRPr="00BF6F4A">
        <w:rPr>
          <w:rFonts w:eastAsia="Calibri" w:cs="Times New Roman"/>
          <w:sz w:val="24"/>
          <w:szCs w:val="24"/>
          <w:lang w:val="bg-BG"/>
        </w:rPr>
        <w:t>Допълнително, несвоевременното представяне и/или представянето в много суров вид на необходимата информация забави значително процеса на обработка и унифициране.</w:t>
      </w:r>
    </w:p>
    <w:p w:rsidR="001F4C2A" w:rsidRPr="00BF6F4A" w:rsidRDefault="001F4C2A" w:rsidP="00D22F48">
      <w:pPr>
        <w:ind w:firstLine="567"/>
        <w:jc w:val="both"/>
        <w:rPr>
          <w:sz w:val="24"/>
          <w:lang w:val="bg-BG"/>
        </w:rPr>
      </w:pPr>
      <w:r w:rsidRPr="001F4C2A">
        <w:rPr>
          <w:rFonts w:cs="Times New Roman"/>
          <w:sz w:val="24"/>
          <w:szCs w:val="24"/>
          <w:lang w:val="bg-BG"/>
        </w:rPr>
        <w:t>Е) Анализът и тестването на прилагането на изчислените в това изследване стандартни ставки за опростено ценообразуване на разходите по изследваните 15 дейности показват различен долен праг (процент) на проектите, в повечето случаи значителен, при който прилагането на опростени разходи ще има директно позитивен ефект, с относително ниски разлики спрямо отчитането на проектите чрез детайлни бюджети. Например, при Дейност 1 (</w:t>
      </w:r>
      <w:proofErr w:type="spellStart"/>
      <w:r w:rsidRPr="001F4C2A">
        <w:rPr>
          <w:rFonts w:cs="Times New Roman"/>
          <w:sz w:val="24"/>
          <w:szCs w:val="24"/>
          <w:lang w:val="bg-BG"/>
        </w:rPr>
        <w:t>поддейност</w:t>
      </w:r>
      <w:proofErr w:type="spellEnd"/>
      <w:r w:rsidRPr="001F4C2A">
        <w:rPr>
          <w:rFonts w:cs="Times New Roman"/>
          <w:sz w:val="24"/>
          <w:szCs w:val="24"/>
          <w:lang w:val="bg-BG"/>
        </w:rPr>
        <w:t xml:space="preserve"> Обучения по ключови компетенции и обучения от общ характер/семинари) е 40%, при Дейност 2  е 33%, при Дейност 3 е 51%. При Дейности 4-14  чрез установените часови ставки се постига средно покритие на проекти за</w:t>
      </w:r>
      <w:r w:rsidR="007B2B54">
        <w:rPr>
          <w:rFonts w:cs="Times New Roman"/>
          <w:sz w:val="24"/>
          <w:szCs w:val="24"/>
          <w:lang w:val="bg-BG"/>
        </w:rPr>
        <w:t xml:space="preserve"> изследваните експерти – поне 21%</w:t>
      </w:r>
      <w:r w:rsidRPr="001F4C2A">
        <w:rPr>
          <w:rFonts w:cs="Times New Roman"/>
          <w:sz w:val="24"/>
          <w:szCs w:val="24"/>
          <w:lang w:val="bg-BG"/>
        </w:rPr>
        <w:t>.</w:t>
      </w:r>
    </w:p>
    <w:p w:rsidR="00D22F48" w:rsidRPr="00D22F48" w:rsidRDefault="00D22F48" w:rsidP="00BF6F4A">
      <w:pPr>
        <w:pStyle w:val="Heading1"/>
        <w:numPr>
          <w:ilvl w:val="0"/>
          <w:numId w:val="11"/>
        </w:numPr>
        <w:spacing w:before="0" w:after="120"/>
        <w:jc w:val="both"/>
        <w:rPr>
          <w:smallCaps/>
          <w:sz w:val="28"/>
          <w:lang w:val="bg-BG"/>
        </w:rPr>
      </w:pPr>
      <w:r>
        <w:rPr>
          <w:smallCaps/>
          <w:sz w:val="28"/>
          <w:lang w:val="bg-BG"/>
        </w:rPr>
        <w:t>Заключения и препоръки з</w:t>
      </w:r>
      <w:r w:rsidR="002432FE" w:rsidRPr="002432FE">
        <w:rPr>
          <w:smallCaps/>
          <w:sz w:val="28"/>
          <w:lang w:val="bg-BG"/>
        </w:rPr>
        <w:t>а качество на информацията</w:t>
      </w:r>
    </w:p>
    <w:p w:rsidR="00987E87" w:rsidRPr="00F53D15" w:rsidRDefault="00987E87" w:rsidP="00987E87">
      <w:pPr>
        <w:spacing w:after="120"/>
        <w:ind w:firstLine="567"/>
        <w:jc w:val="both"/>
        <w:rPr>
          <w:rFonts w:eastAsia="Calibri" w:cs="Times New Roman"/>
          <w:sz w:val="24"/>
          <w:szCs w:val="24"/>
          <w:lang w:val="bg-BG"/>
        </w:rPr>
      </w:pPr>
      <w:r w:rsidRPr="00F53D15">
        <w:rPr>
          <w:rFonts w:eastAsia="Calibri" w:cs="Times New Roman"/>
          <w:sz w:val="24"/>
          <w:szCs w:val="24"/>
          <w:lang w:val="bg-BG"/>
        </w:rPr>
        <w:t xml:space="preserve">Анализът на голям обем информация по проекти от различни управляващи органи показа, че има възможности за подобряване на качеството на информацията, която се събира, обработва и контролира. Екипът на Изпълнителя е на позиция, че (1) унифицирането на изискванията, (2) унифицирането на форматите и шаблоните на бюджетите, и (3) съобразяването им с нуждите и целите на процесите по мониторинг, обработка, анализ (включително за целите на изчисляване на опростени ставки), контрол и отчитане, би подобрил значително надеждността и използваемостта на събираната информация. В допълнение, биха могли да се подобрят и основни функции на мониторинга и </w:t>
      </w:r>
      <w:proofErr w:type="spellStart"/>
      <w:r w:rsidRPr="00F53D15">
        <w:rPr>
          <w:rFonts w:eastAsia="Calibri" w:cs="Times New Roman"/>
          <w:sz w:val="24"/>
          <w:szCs w:val="24"/>
          <w:lang w:val="bg-BG"/>
        </w:rPr>
        <w:t>контролинга</w:t>
      </w:r>
      <w:proofErr w:type="spellEnd"/>
      <w:r w:rsidRPr="00F53D15">
        <w:rPr>
          <w:rFonts w:eastAsia="Calibri" w:cs="Times New Roman"/>
          <w:sz w:val="24"/>
          <w:szCs w:val="24"/>
          <w:lang w:val="bg-BG"/>
        </w:rPr>
        <w:t xml:space="preserve">, както и на цялостното управление </w:t>
      </w:r>
      <w:r>
        <w:rPr>
          <w:rFonts w:eastAsia="Calibri" w:cs="Times New Roman"/>
          <w:sz w:val="24"/>
          <w:szCs w:val="24"/>
          <w:lang w:val="bg-BG"/>
        </w:rPr>
        <w:t xml:space="preserve">за вземане на управленски решения. </w:t>
      </w:r>
    </w:p>
    <w:p w:rsidR="00987E87" w:rsidRPr="00F53D15" w:rsidRDefault="00987E87" w:rsidP="00987E87">
      <w:pPr>
        <w:spacing w:after="120"/>
        <w:ind w:firstLine="567"/>
        <w:jc w:val="both"/>
        <w:rPr>
          <w:rFonts w:eastAsia="Calibri" w:cs="Times New Roman"/>
          <w:sz w:val="24"/>
          <w:szCs w:val="24"/>
          <w:lang w:val="bg-BG"/>
        </w:rPr>
      </w:pPr>
      <w:r w:rsidRPr="00F53D15">
        <w:rPr>
          <w:rFonts w:eastAsia="Calibri" w:cs="Times New Roman"/>
          <w:sz w:val="24"/>
          <w:szCs w:val="24"/>
          <w:lang w:val="bg-BG"/>
        </w:rPr>
        <w:t>По-подробно, основните препоръки, които биха могли да се направят, включват:</w:t>
      </w:r>
    </w:p>
    <w:p w:rsidR="00987E87" w:rsidRPr="00F53D15" w:rsidRDefault="00987E87" w:rsidP="00BF6F4A">
      <w:pPr>
        <w:numPr>
          <w:ilvl w:val="0"/>
          <w:numId w:val="1"/>
        </w:numPr>
        <w:spacing w:after="120"/>
        <w:ind w:left="851" w:hanging="284"/>
        <w:jc w:val="both"/>
        <w:rPr>
          <w:rFonts w:eastAsia="Calibri" w:cs="Times New Roman"/>
          <w:sz w:val="24"/>
          <w:szCs w:val="24"/>
          <w:lang w:val="bg-BG"/>
        </w:rPr>
      </w:pPr>
      <w:r w:rsidRPr="00F53D15">
        <w:rPr>
          <w:rFonts w:eastAsia="Calibri" w:cs="Times New Roman"/>
          <w:sz w:val="24"/>
          <w:szCs w:val="24"/>
          <w:lang w:val="bg-BG"/>
        </w:rPr>
        <w:t>Привеждане бюджетите в бъдеще във формат и шаблон, който да позвол</w:t>
      </w:r>
      <w:r>
        <w:rPr>
          <w:rFonts w:eastAsia="Calibri" w:cs="Times New Roman"/>
          <w:sz w:val="24"/>
          <w:szCs w:val="24"/>
          <w:lang w:val="bg-BG"/>
        </w:rPr>
        <w:t xml:space="preserve">ява  </w:t>
      </w:r>
      <w:r w:rsidRPr="00F53D15">
        <w:rPr>
          <w:rFonts w:eastAsia="Calibri" w:cs="Times New Roman"/>
          <w:sz w:val="24"/>
          <w:szCs w:val="24"/>
          <w:lang w:val="bg-BG"/>
        </w:rPr>
        <w:t xml:space="preserve">статистически анализ за </w:t>
      </w:r>
      <w:r>
        <w:rPr>
          <w:rFonts w:eastAsia="Calibri" w:cs="Times New Roman"/>
          <w:sz w:val="24"/>
          <w:szCs w:val="24"/>
          <w:lang w:val="bg-BG"/>
        </w:rPr>
        <w:t>актуализиране</w:t>
      </w:r>
      <w:r w:rsidRPr="00F53D15">
        <w:rPr>
          <w:rFonts w:eastAsia="Calibri" w:cs="Times New Roman"/>
          <w:sz w:val="24"/>
          <w:szCs w:val="24"/>
          <w:lang w:val="bg-BG"/>
        </w:rPr>
        <w:t xml:space="preserve"> на таблиците със стойности за опростено ценообразуване, което предполага и следното:</w:t>
      </w:r>
    </w:p>
    <w:p w:rsidR="00987E87" w:rsidRPr="00F53D15" w:rsidRDefault="00987E87" w:rsidP="00BF6F4A">
      <w:pPr>
        <w:numPr>
          <w:ilvl w:val="0"/>
          <w:numId w:val="2"/>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Използване на една и съща матрица за бюджет при различните ОП (доколкото няма специфика, която да изисква различни матрици);</w:t>
      </w:r>
    </w:p>
    <w:p w:rsidR="00987E87" w:rsidRPr="00F53D15" w:rsidRDefault="00987E87" w:rsidP="00BF6F4A">
      <w:pPr>
        <w:numPr>
          <w:ilvl w:val="0"/>
          <w:numId w:val="2"/>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 xml:space="preserve">Определяне от всеки УО/МЗ на списък от неговите </w:t>
      </w:r>
      <w:r w:rsidRPr="00F53D15">
        <w:rPr>
          <w:rFonts w:eastAsia="Calibri" w:cs="Times New Roman"/>
          <w:sz w:val="24"/>
          <w:szCs w:val="24"/>
          <w:u w:val="single"/>
          <w:lang w:val="bg-BG"/>
        </w:rPr>
        <w:t>приоритетни</w:t>
      </w:r>
      <w:r w:rsidRPr="00F53D15">
        <w:rPr>
          <w:rFonts w:eastAsia="Calibri" w:cs="Times New Roman"/>
          <w:sz w:val="24"/>
          <w:szCs w:val="24"/>
          <w:lang w:val="bg-BG"/>
        </w:rPr>
        <w:t xml:space="preserve"> типови дейности, изпълнявани със собствени ресурси</w:t>
      </w:r>
      <w:r>
        <w:rPr>
          <w:rFonts w:eastAsia="Calibri" w:cs="Times New Roman"/>
          <w:sz w:val="24"/>
          <w:szCs w:val="24"/>
          <w:lang w:val="bg-BG"/>
        </w:rPr>
        <w:t xml:space="preserve">, </w:t>
      </w:r>
      <w:r w:rsidRPr="00F53D15">
        <w:rPr>
          <w:rFonts w:eastAsia="Calibri" w:cs="Times New Roman"/>
          <w:sz w:val="24"/>
          <w:szCs w:val="24"/>
          <w:lang w:val="bg-BG"/>
        </w:rPr>
        <w:t xml:space="preserve">за които цели въвеждането на опциите на опростените разходи, включително ясни и изчерпателни дефиниции на всяка дейност, </w:t>
      </w:r>
      <w:r>
        <w:rPr>
          <w:rFonts w:eastAsia="Calibri" w:cs="Times New Roman"/>
          <w:sz w:val="24"/>
          <w:szCs w:val="24"/>
          <w:lang w:val="bg-BG"/>
        </w:rPr>
        <w:t>детайли</w:t>
      </w:r>
      <w:r w:rsidRPr="00F53D15">
        <w:rPr>
          <w:rFonts w:eastAsia="Calibri" w:cs="Times New Roman"/>
          <w:sz w:val="24"/>
          <w:szCs w:val="24"/>
          <w:lang w:val="bg-BG"/>
        </w:rPr>
        <w:t xml:space="preserve"> </w:t>
      </w:r>
      <w:proofErr w:type="spellStart"/>
      <w:r w:rsidRPr="00F53D15">
        <w:rPr>
          <w:rFonts w:eastAsia="Calibri" w:cs="Times New Roman"/>
          <w:sz w:val="24"/>
          <w:szCs w:val="24"/>
          <w:lang w:val="bg-BG"/>
        </w:rPr>
        <w:t>калкулационни</w:t>
      </w:r>
      <w:proofErr w:type="spellEnd"/>
      <w:r w:rsidRPr="00F53D15">
        <w:rPr>
          <w:rFonts w:eastAsia="Calibri" w:cs="Times New Roman"/>
          <w:sz w:val="24"/>
          <w:szCs w:val="24"/>
          <w:lang w:val="bg-BG"/>
        </w:rPr>
        <w:t xml:space="preserve"> схеми (обхват на разходите, които се включват в калкулациите на остойностяването) и избрани </w:t>
      </w:r>
      <w:proofErr w:type="spellStart"/>
      <w:r w:rsidRPr="00F53D15">
        <w:rPr>
          <w:rFonts w:eastAsia="Calibri" w:cs="Times New Roman"/>
          <w:sz w:val="24"/>
          <w:szCs w:val="24"/>
          <w:lang w:val="bg-BG"/>
        </w:rPr>
        <w:t>калкулационни</w:t>
      </w:r>
      <w:proofErr w:type="spellEnd"/>
      <w:r w:rsidRPr="00F53D15">
        <w:rPr>
          <w:rFonts w:eastAsia="Calibri" w:cs="Times New Roman"/>
          <w:sz w:val="24"/>
          <w:szCs w:val="24"/>
          <w:lang w:val="bg-BG"/>
        </w:rPr>
        <w:t xml:space="preserve"> единици (мерки за остойностяване). Списъкът и </w:t>
      </w:r>
      <w:proofErr w:type="spellStart"/>
      <w:r w:rsidRPr="00F53D15">
        <w:rPr>
          <w:rFonts w:eastAsia="Calibri" w:cs="Times New Roman"/>
          <w:sz w:val="24"/>
          <w:szCs w:val="24"/>
          <w:lang w:val="bg-BG"/>
        </w:rPr>
        <w:t>калкулационните</w:t>
      </w:r>
      <w:proofErr w:type="spellEnd"/>
      <w:r w:rsidRPr="00F53D15">
        <w:rPr>
          <w:rFonts w:eastAsia="Calibri" w:cs="Times New Roman"/>
          <w:sz w:val="24"/>
          <w:szCs w:val="24"/>
          <w:lang w:val="bg-BG"/>
        </w:rPr>
        <w:t xml:space="preserve"> схеми и единици следва да се координира на централно ниво и ИСУН;</w:t>
      </w:r>
    </w:p>
    <w:p w:rsidR="00987E87" w:rsidRPr="00F53D15" w:rsidRDefault="00987E87" w:rsidP="00BF6F4A">
      <w:pPr>
        <w:numPr>
          <w:ilvl w:val="0"/>
          <w:numId w:val="2"/>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 xml:space="preserve">Включване на поле в бюджетната матрица, което да изисква всеки разходен елемент да се отнесе към предварително дефинирания списък от дейности, за които се цели постигане на прилагане на допустимите модели на опростени разходи; </w:t>
      </w:r>
    </w:p>
    <w:p w:rsidR="00987E87" w:rsidRPr="00F53D15" w:rsidRDefault="00987E87" w:rsidP="00BF6F4A">
      <w:pPr>
        <w:numPr>
          <w:ilvl w:val="0"/>
          <w:numId w:val="2"/>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 xml:space="preserve">Като продължение на по-горната препоръка, при разходите за възнаграждения, въвеждане на изискване да се посочва вида и нивото на експертиза на лицето, за което се </w:t>
      </w:r>
      <w:proofErr w:type="spellStart"/>
      <w:r w:rsidRPr="00F53D15">
        <w:rPr>
          <w:rFonts w:eastAsia="Calibri" w:cs="Times New Roman"/>
          <w:sz w:val="24"/>
          <w:szCs w:val="24"/>
          <w:lang w:val="bg-BG"/>
        </w:rPr>
        <w:t>бюджетира</w:t>
      </w:r>
      <w:proofErr w:type="spellEnd"/>
      <w:r w:rsidRPr="00F53D15">
        <w:rPr>
          <w:rFonts w:eastAsia="Calibri" w:cs="Times New Roman"/>
          <w:sz w:val="24"/>
          <w:szCs w:val="24"/>
          <w:lang w:val="bg-BG"/>
        </w:rPr>
        <w:t xml:space="preserve"> възнаграждение, както и референция в каква дейност или </w:t>
      </w:r>
      <w:proofErr w:type="spellStart"/>
      <w:r w:rsidRPr="00F53D15">
        <w:rPr>
          <w:rFonts w:eastAsia="Calibri" w:cs="Times New Roman"/>
          <w:sz w:val="24"/>
          <w:szCs w:val="24"/>
          <w:lang w:val="bg-BG"/>
        </w:rPr>
        <w:t>поддейност</w:t>
      </w:r>
      <w:proofErr w:type="spellEnd"/>
      <w:r w:rsidRPr="00F53D15">
        <w:rPr>
          <w:rFonts w:eastAsia="Calibri" w:cs="Times New Roman"/>
          <w:sz w:val="24"/>
          <w:szCs w:val="24"/>
          <w:lang w:val="bg-BG"/>
        </w:rPr>
        <w:t xml:space="preserve"> по проекта то е ангажирано. Допълнително, трябва да бъде унифицирано съдържанието и представянето на разходите по възнагражденията, т.е. освен разходите за самото трудово възнаграждение и за социалното и здравно осигуряване, изрично да се определят условията на включването на други косвени разходи и пр.;</w:t>
      </w:r>
    </w:p>
    <w:p w:rsidR="00987E87" w:rsidRPr="00F53D15" w:rsidRDefault="00987E87" w:rsidP="00BF6F4A">
      <w:pPr>
        <w:numPr>
          <w:ilvl w:val="0"/>
          <w:numId w:val="2"/>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 xml:space="preserve">Изискване разходите за дейности, при което опростеното ценообразуване е на единица краен продукт, да съдържат достатъчно нефинансова информация – обхвата на дейността (като отделни </w:t>
      </w:r>
      <w:proofErr w:type="spellStart"/>
      <w:r w:rsidRPr="00F53D15">
        <w:rPr>
          <w:rFonts w:eastAsia="Calibri" w:cs="Times New Roman"/>
          <w:sz w:val="24"/>
          <w:szCs w:val="24"/>
          <w:lang w:val="bg-BG"/>
        </w:rPr>
        <w:t>поддейности</w:t>
      </w:r>
      <w:proofErr w:type="spellEnd"/>
      <w:r w:rsidRPr="00F53D15">
        <w:rPr>
          <w:rFonts w:eastAsia="Calibri" w:cs="Times New Roman"/>
          <w:sz w:val="24"/>
          <w:szCs w:val="24"/>
          <w:lang w:val="bg-BG"/>
        </w:rPr>
        <w:t xml:space="preserve">), брой участници и продължителност, тип и </w:t>
      </w:r>
      <w:proofErr w:type="spellStart"/>
      <w:r w:rsidRPr="00F53D15">
        <w:rPr>
          <w:rFonts w:eastAsia="Calibri" w:cs="Times New Roman"/>
          <w:sz w:val="24"/>
          <w:szCs w:val="24"/>
          <w:lang w:val="bg-BG"/>
        </w:rPr>
        <w:t>тематичност</w:t>
      </w:r>
      <w:proofErr w:type="spellEnd"/>
      <w:r w:rsidRPr="00F53D15">
        <w:rPr>
          <w:rFonts w:eastAsia="Calibri" w:cs="Times New Roman"/>
          <w:sz w:val="24"/>
          <w:szCs w:val="24"/>
          <w:lang w:val="bg-BG"/>
        </w:rPr>
        <w:t xml:space="preserve"> на мероприятието/събитието и др. под.;</w:t>
      </w:r>
    </w:p>
    <w:p w:rsidR="00987E87" w:rsidRPr="00F53D15" w:rsidRDefault="00987E87" w:rsidP="00BF6F4A">
      <w:pPr>
        <w:numPr>
          <w:ilvl w:val="0"/>
          <w:numId w:val="2"/>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 xml:space="preserve">Изискване различните видове разходи за едно събитие (една </w:t>
      </w:r>
      <w:proofErr w:type="spellStart"/>
      <w:r w:rsidRPr="00F53D15">
        <w:rPr>
          <w:rFonts w:eastAsia="Calibri" w:cs="Times New Roman"/>
          <w:sz w:val="24"/>
          <w:szCs w:val="24"/>
          <w:lang w:val="bg-BG"/>
        </w:rPr>
        <w:t>поддейност</w:t>
      </w:r>
      <w:proofErr w:type="spellEnd"/>
      <w:r w:rsidRPr="00F53D15">
        <w:rPr>
          <w:rFonts w:eastAsia="Calibri" w:cs="Times New Roman"/>
          <w:sz w:val="24"/>
          <w:szCs w:val="24"/>
          <w:lang w:val="bg-BG"/>
        </w:rPr>
        <w:t xml:space="preserve">) в рамките на един бюджет да бъдат групирани и представени заедно, например при разходите за дадено обучение, разходите за възнаграждение и настаняване (командировъчни) на лекторите, за командировъчни на участниците, за материали и консумативи, за </w:t>
      </w:r>
      <w:r>
        <w:rPr>
          <w:rFonts w:eastAsia="Calibri" w:cs="Times New Roman"/>
          <w:sz w:val="24"/>
          <w:szCs w:val="24"/>
          <w:lang w:val="bg-BG"/>
        </w:rPr>
        <w:t>логистика</w:t>
      </w:r>
      <w:r w:rsidRPr="00F53D15">
        <w:rPr>
          <w:rFonts w:eastAsia="Calibri" w:cs="Times New Roman"/>
          <w:sz w:val="24"/>
          <w:szCs w:val="24"/>
          <w:lang w:val="bg-BG"/>
        </w:rPr>
        <w:t xml:space="preserve"> (наем, модерация, кетъринг и пр.), да бъдат недвусмислено отнесени към това обучение;</w:t>
      </w:r>
    </w:p>
    <w:p w:rsidR="00987E87" w:rsidRPr="00F53D15" w:rsidRDefault="00987E87" w:rsidP="00BF6F4A">
      <w:pPr>
        <w:numPr>
          <w:ilvl w:val="0"/>
          <w:numId w:val="2"/>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 xml:space="preserve">Определяне от всеки УО/МЗ на ясни и изчерпателни дефиниции на дейността по организация и управление на проекти – включените видове дейности, експерти на екипа и </w:t>
      </w:r>
      <w:r>
        <w:rPr>
          <w:rFonts w:eastAsia="Calibri" w:cs="Times New Roman"/>
          <w:sz w:val="24"/>
          <w:szCs w:val="24"/>
          <w:lang w:val="bg-BG"/>
        </w:rPr>
        <w:t>детайлен</w:t>
      </w:r>
      <w:r w:rsidRPr="00F53D15">
        <w:rPr>
          <w:rFonts w:eastAsia="Calibri" w:cs="Times New Roman"/>
          <w:sz w:val="24"/>
          <w:szCs w:val="24"/>
          <w:lang w:val="bg-BG"/>
        </w:rPr>
        <w:t xml:space="preserve"> списък на допустимите типове разходи. Постигане на максимална унифицираност на тези дефиниции на централно ниво, за всички оперативни програми.  </w:t>
      </w:r>
    </w:p>
    <w:p w:rsidR="00987E87" w:rsidRPr="00F53D15" w:rsidRDefault="00987E87" w:rsidP="00BF6F4A">
      <w:pPr>
        <w:numPr>
          <w:ilvl w:val="0"/>
          <w:numId w:val="1"/>
        </w:numPr>
        <w:spacing w:after="120"/>
        <w:ind w:left="851" w:hanging="284"/>
        <w:jc w:val="both"/>
        <w:rPr>
          <w:rFonts w:eastAsia="Calibri" w:cs="Times New Roman"/>
          <w:sz w:val="24"/>
          <w:szCs w:val="24"/>
          <w:lang w:val="bg-BG"/>
        </w:rPr>
      </w:pPr>
      <w:r w:rsidRPr="00F53D15">
        <w:rPr>
          <w:rFonts w:eastAsia="Calibri" w:cs="Times New Roman"/>
          <w:sz w:val="24"/>
          <w:szCs w:val="24"/>
          <w:lang w:val="bg-BG"/>
        </w:rPr>
        <w:t xml:space="preserve">Въвеждане на електронно бюджетиране, което би било едно съвременно решение на гореописаните изисквания. Разработването на специализирана система за подаване на бюджети, отчитане на разходи и резултати по проекти, мониторинг, и т.н. би могла да бъде използвана и за автоматично извеждане на опростени норми на разходи по предварително зададени критерии и параметри. </w:t>
      </w:r>
    </w:p>
    <w:p w:rsidR="00987E87" w:rsidRPr="00F53D15" w:rsidRDefault="00987E87" w:rsidP="00BF6F4A">
      <w:pPr>
        <w:numPr>
          <w:ilvl w:val="0"/>
          <w:numId w:val="1"/>
        </w:numPr>
        <w:spacing w:after="120"/>
        <w:ind w:left="851" w:hanging="284"/>
        <w:jc w:val="both"/>
        <w:rPr>
          <w:rFonts w:eastAsia="Calibri" w:cs="Times New Roman"/>
          <w:sz w:val="24"/>
          <w:szCs w:val="24"/>
          <w:lang w:val="bg-BG"/>
        </w:rPr>
      </w:pPr>
      <w:r w:rsidRPr="00F53D15">
        <w:rPr>
          <w:rFonts w:eastAsia="Calibri" w:cs="Times New Roman"/>
          <w:sz w:val="24"/>
          <w:szCs w:val="24"/>
          <w:lang w:val="bg-BG"/>
        </w:rPr>
        <w:t>Въвеждане на текущо поддържане и наблюдение на систематизирана и статистически обработ</w:t>
      </w:r>
      <w:r>
        <w:rPr>
          <w:rFonts w:eastAsia="Calibri" w:cs="Times New Roman"/>
          <w:sz w:val="24"/>
          <w:szCs w:val="24"/>
          <w:lang w:val="bg-BG"/>
        </w:rPr>
        <w:t>ваема</w:t>
      </w:r>
      <w:r w:rsidRPr="00F53D15">
        <w:rPr>
          <w:rFonts w:eastAsia="Calibri" w:cs="Times New Roman"/>
          <w:sz w:val="24"/>
          <w:szCs w:val="24"/>
          <w:lang w:val="bg-BG"/>
        </w:rPr>
        <w:t xml:space="preserve"> и анализирана информация</w:t>
      </w:r>
      <w:r>
        <w:rPr>
          <w:rFonts w:eastAsia="Calibri" w:cs="Times New Roman"/>
          <w:sz w:val="24"/>
          <w:szCs w:val="24"/>
          <w:lang w:val="bg-BG"/>
        </w:rPr>
        <w:t xml:space="preserve"> </w:t>
      </w:r>
      <w:r w:rsidRPr="00F53D15">
        <w:rPr>
          <w:rFonts w:eastAsia="Calibri" w:cs="Times New Roman"/>
          <w:sz w:val="24"/>
          <w:szCs w:val="24"/>
          <w:lang w:val="bg-BG"/>
        </w:rPr>
        <w:t xml:space="preserve">на определен (предварително зададен) комплекс от ключови показатели на ниво УО по отношение на проектите на съответната оперативна програма, </w:t>
      </w:r>
      <w:r w:rsidRPr="00F53D15">
        <w:rPr>
          <w:rFonts w:eastAsia="Calibri" w:cs="Times New Roman"/>
          <w:sz w:val="24"/>
          <w:szCs w:val="24"/>
          <w:u w:val="single"/>
          <w:lang w:val="bg-BG"/>
        </w:rPr>
        <w:t>включително за дейностите посочени като приоритетни типови дейности за въвеждане на опциите за опростено ценообразуване</w:t>
      </w:r>
      <w:r>
        <w:rPr>
          <w:rFonts w:eastAsia="Calibri" w:cs="Times New Roman"/>
          <w:sz w:val="24"/>
          <w:szCs w:val="24"/>
          <w:u w:val="single"/>
          <w:lang w:val="bg-BG"/>
        </w:rPr>
        <w:t xml:space="preserve">, </w:t>
      </w:r>
      <w:r w:rsidRPr="00F53D15">
        <w:rPr>
          <w:rFonts w:eastAsia="Calibri" w:cs="Times New Roman"/>
          <w:sz w:val="24"/>
          <w:szCs w:val="24"/>
          <w:u w:val="single"/>
          <w:lang w:val="bg-BG"/>
        </w:rPr>
        <w:t>било през ИСУН, било чрез тяхна собствена информационна съпътстваща система</w:t>
      </w:r>
      <w:r w:rsidRPr="00F53D15">
        <w:rPr>
          <w:rFonts w:eastAsia="Calibri" w:cs="Times New Roman"/>
          <w:sz w:val="24"/>
          <w:szCs w:val="24"/>
          <w:lang w:val="bg-BG"/>
        </w:rPr>
        <w:t xml:space="preserve">. По този начин ще се осигури достатъчно ясна, обективна, </w:t>
      </w:r>
      <w:proofErr w:type="spellStart"/>
      <w:r w:rsidRPr="00F53D15">
        <w:rPr>
          <w:rFonts w:eastAsia="Calibri" w:cs="Times New Roman"/>
          <w:sz w:val="24"/>
          <w:szCs w:val="24"/>
          <w:lang w:val="bg-BG"/>
        </w:rPr>
        <w:t>проследяема</w:t>
      </w:r>
      <w:proofErr w:type="spellEnd"/>
      <w:r w:rsidRPr="00F53D15">
        <w:rPr>
          <w:rFonts w:eastAsia="Calibri" w:cs="Times New Roman"/>
          <w:sz w:val="24"/>
          <w:szCs w:val="24"/>
          <w:lang w:val="bg-BG"/>
        </w:rPr>
        <w:t xml:space="preserve"> и документално доказуема изходна информация за последващи статистически изчисления на унифицирани ставки за въвеждане на опростено ценообразуване, при</w:t>
      </w:r>
      <w:r>
        <w:rPr>
          <w:rFonts w:eastAsia="Calibri" w:cs="Times New Roman"/>
          <w:sz w:val="24"/>
          <w:szCs w:val="24"/>
          <w:lang w:val="bg-BG"/>
        </w:rPr>
        <w:t xml:space="preserve"> прилагане на </w:t>
      </w:r>
      <w:r w:rsidRPr="00F53D15">
        <w:rPr>
          <w:rFonts w:eastAsia="Calibri" w:cs="Times New Roman"/>
          <w:sz w:val="24"/>
          <w:szCs w:val="24"/>
          <w:lang w:val="bg-BG"/>
        </w:rPr>
        <w:t>предложената в настоящия доклад методология, вкл. и за обосновано обмисляне на други, по-ефикасни модели, комбинира</w:t>
      </w:r>
      <w:r>
        <w:rPr>
          <w:rFonts w:eastAsia="Calibri" w:cs="Times New Roman"/>
          <w:sz w:val="24"/>
          <w:szCs w:val="24"/>
          <w:lang w:val="bg-BG"/>
        </w:rPr>
        <w:t>щи</w:t>
      </w:r>
      <w:r w:rsidRPr="00F53D15">
        <w:rPr>
          <w:rFonts w:eastAsia="Calibri" w:cs="Times New Roman"/>
          <w:sz w:val="24"/>
          <w:szCs w:val="24"/>
          <w:lang w:val="bg-BG"/>
        </w:rPr>
        <w:t xml:space="preserve"> трите възможности – стандартни таблици на разходите на единица продукт (</w:t>
      </w:r>
      <w:proofErr w:type="spellStart"/>
      <w:r w:rsidRPr="00F53D15">
        <w:rPr>
          <w:rFonts w:eastAsia="Calibri" w:cs="Times New Roman"/>
          <w:sz w:val="24"/>
          <w:szCs w:val="24"/>
          <w:lang w:val="bg-BG"/>
        </w:rPr>
        <w:t>standard</w:t>
      </w:r>
      <w:proofErr w:type="spellEnd"/>
      <w:r w:rsidRPr="00F53D15">
        <w:rPr>
          <w:rFonts w:eastAsia="Calibri" w:cs="Times New Roman"/>
          <w:sz w:val="24"/>
          <w:szCs w:val="24"/>
          <w:lang w:val="bg-BG"/>
        </w:rPr>
        <w:t xml:space="preserve"> </w:t>
      </w:r>
      <w:proofErr w:type="spellStart"/>
      <w:r w:rsidRPr="00F53D15">
        <w:rPr>
          <w:rFonts w:eastAsia="Calibri" w:cs="Times New Roman"/>
          <w:sz w:val="24"/>
          <w:szCs w:val="24"/>
          <w:lang w:val="bg-BG"/>
        </w:rPr>
        <w:t>scales</w:t>
      </w:r>
      <w:proofErr w:type="spellEnd"/>
      <w:r w:rsidRPr="00F53D15">
        <w:rPr>
          <w:rFonts w:eastAsia="Calibri" w:cs="Times New Roman"/>
          <w:sz w:val="24"/>
          <w:szCs w:val="24"/>
          <w:lang w:val="bg-BG"/>
        </w:rPr>
        <w:t xml:space="preserve"> of </w:t>
      </w:r>
      <w:proofErr w:type="spellStart"/>
      <w:r w:rsidRPr="00F53D15">
        <w:rPr>
          <w:rFonts w:eastAsia="Calibri" w:cs="Times New Roman"/>
          <w:sz w:val="24"/>
          <w:szCs w:val="24"/>
          <w:lang w:val="bg-BG"/>
        </w:rPr>
        <w:t>unit</w:t>
      </w:r>
      <w:proofErr w:type="spellEnd"/>
      <w:r w:rsidRPr="00F53D15">
        <w:rPr>
          <w:rFonts w:eastAsia="Calibri" w:cs="Times New Roman"/>
          <w:sz w:val="24"/>
          <w:szCs w:val="24"/>
          <w:lang w:val="bg-BG"/>
        </w:rPr>
        <w:t xml:space="preserve"> </w:t>
      </w:r>
      <w:proofErr w:type="spellStart"/>
      <w:r w:rsidRPr="00F53D15">
        <w:rPr>
          <w:rFonts w:eastAsia="Calibri" w:cs="Times New Roman"/>
          <w:sz w:val="24"/>
          <w:szCs w:val="24"/>
          <w:lang w:val="bg-BG"/>
        </w:rPr>
        <w:t>costs</w:t>
      </w:r>
      <w:proofErr w:type="spellEnd"/>
      <w:r w:rsidRPr="00F53D15">
        <w:rPr>
          <w:rFonts w:eastAsia="Calibri" w:cs="Times New Roman"/>
          <w:sz w:val="24"/>
          <w:szCs w:val="24"/>
          <w:lang w:val="bg-BG"/>
        </w:rPr>
        <w:t>), еднократни суми (</w:t>
      </w:r>
      <w:proofErr w:type="spellStart"/>
      <w:r w:rsidRPr="00F53D15">
        <w:rPr>
          <w:rFonts w:eastAsia="Calibri" w:cs="Times New Roman"/>
          <w:sz w:val="24"/>
          <w:szCs w:val="24"/>
          <w:lang w:val="bg-BG"/>
        </w:rPr>
        <w:t>lump</w:t>
      </w:r>
      <w:proofErr w:type="spellEnd"/>
      <w:r w:rsidRPr="00F53D15">
        <w:rPr>
          <w:rFonts w:eastAsia="Calibri" w:cs="Times New Roman"/>
          <w:sz w:val="24"/>
          <w:szCs w:val="24"/>
          <w:lang w:val="bg-BG"/>
        </w:rPr>
        <w:t xml:space="preserve"> </w:t>
      </w:r>
      <w:proofErr w:type="spellStart"/>
      <w:r w:rsidRPr="00F53D15">
        <w:rPr>
          <w:rFonts w:eastAsia="Calibri" w:cs="Times New Roman"/>
          <w:sz w:val="24"/>
          <w:szCs w:val="24"/>
          <w:lang w:val="bg-BG"/>
        </w:rPr>
        <w:t>sums</w:t>
      </w:r>
      <w:proofErr w:type="spellEnd"/>
      <w:r w:rsidRPr="00F53D15">
        <w:rPr>
          <w:rFonts w:eastAsia="Calibri" w:cs="Times New Roman"/>
          <w:sz w:val="24"/>
          <w:szCs w:val="24"/>
          <w:lang w:val="bg-BG"/>
        </w:rPr>
        <w:t>)</w:t>
      </w:r>
      <w:r>
        <w:rPr>
          <w:rFonts w:eastAsia="Calibri" w:cs="Times New Roman"/>
          <w:sz w:val="24"/>
          <w:szCs w:val="24"/>
          <w:lang w:val="bg-BG"/>
        </w:rPr>
        <w:t xml:space="preserve"> </w:t>
      </w:r>
      <w:r w:rsidRPr="00F53D15">
        <w:rPr>
          <w:rFonts w:eastAsia="Calibri" w:cs="Times New Roman"/>
          <w:sz w:val="24"/>
          <w:szCs w:val="24"/>
          <w:lang w:val="bg-BG"/>
        </w:rPr>
        <w:t>и финансиране чрез единна ставка (</w:t>
      </w:r>
      <w:proofErr w:type="spellStart"/>
      <w:r w:rsidRPr="00F53D15">
        <w:rPr>
          <w:rFonts w:eastAsia="Calibri" w:cs="Times New Roman"/>
          <w:sz w:val="24"/>
          <w:szCs w:val="24"/>
          <w:lang w:val="bg-BG"/>
        </w:rPr>
        <w:t>flat</w:t>
      </w:r>
      <w:proofErr w:type="spellEnd"/>
      <w:r w:rsidRPr="00F53D15">
        <w:rPr>
          <w:rFonts w:eastAsia="Calibri" w:cs="Times New Roman"/>
          <w:sz w:val="24"/>
          <w:szCs w:val="24"/>
          <w:lang w:val="bg-BG"/>
        </w:rPr>
        <w:t xml:space="preserve"> </w:t>
      </w:r>
      <w:proofErr w:type="spellStart"/>
      <w:r w:rsidRPr="00F53D15">
        <w:rPr>
          <w:rFonts w:eastAsia="Calibri" w:cs="Times New Roman"/>
          <w:sz w:val="24"/>
          <w:szCs w:val="24"/>
          <w:lang w:val="bg-BG"/>
        </w:rPr>
        <w:t>rate</w:t>
      </w:r>
      <w:proofErr w:type="spellEnd"/>
      <w:r w:rsidRPr="00F53D15">
        <w:rPr>
          <w:rFonts w:eastAsia="Calibri" w:cs="Times New Roman"/>
          <w:sz w:val="24"/>
          <w:szCs w:val="24"/>
          <w:lang w:val="bg-BG"/>
        </w:rPr>
        <w:t xml:space="preserve"> </w:t>
      </w:r>
      <w:proofErr w:type="spellStart"/>
      <w:r w:rsidRPr="00F53D15">
        <w:rPr>
          <w:rFonts w:eastAsia="Calibri" w:cs="Times New Roman"/>
          <w:sz w:val="24"/>
          <w:szCs w:val="24"/>
          <w:lang w:val="bg-BG"/>
        </w:rPr>
        <w:t>financing</w:t>
      </w:r>
      <w:proofErr w:type="spellEnd"/>
      <w:r w:rsidRPr="00F53D15">
        <w:rPr>
          <w:rFonts w:eastAsia="Calibri" w:cs="Times New Roman"/>
          <w:sz w:val="24"/>
          <w:szCs w:val="24"/>
          <w:lang w:val="bg-BG"/>
        </w:rPr>
        <w:t>), определено чрез прилагане на процент към една или няколко бази</w:t>
      </w:r>
      <w:r>
        <w:rPr>
          <w:rFonts w:eastAsia="Calibri" w:cs="Times New Roman"/>
          <w:sz w:val="24"/>
          <w:szCs w:val="24"/>
          <w:lang w:val="bg-BG"/>
        </w:rPr>
        <w:t>, (</w:t>
      </w:r>
      <w:r w:rsidRPr="00F53D15">
        <w:rPr>
          <w:rFonts w:eastAsia="Calibri" w:cs="Times New Roman"/>
          <w:sz w:val="24"/>
          <w:szCs w:val="24"/>
          <w:lang w:val="bg-BG"/>
        </w:rPr>
        <w:t>определени категории разходи</w:t>
      </w:r>
      <w:r>
        <w:rPr>
          <w:rFonts w:eastAsia="Calibri" w:cs="Times New Roman"/>
          <w:sz w:val="24"/>
          <w:szCs w:val="24"/>
          <w:lang w:val="bg-BG"/>
        </w:rPr>
        <w:t>)</w:t>
      </w:r>
      <w:r w:rsidRPr="00F53D15">
        <w:rPr>
          <w:rFonts w:eastAsia="Calibri" w:cs="Times New Roman"/>
          <w:sz w:val="24"/>
          <w:szCs w:val="24"/>
          <w:lang w:val="bg-BG"/>
        </w:rPr>
        <w:t>. Това с особена важност е необходимо да се обмисли за косвените разходи по дейности, и респ. за разходите по дейността по организация и управления на проекта.</w:t>
      </w:r>
    </w:p>
    <w:p w:rsidR="0004446F" w:rsidRPr="00F53D15" w:rsidRDefault="00987E87" w:rsidP="00BF6F4A">
      <w:pPr>
        <w:numPr>
          <w:ilvl w:val="0"/>
          <w:numId w:val="1"/>
        </w:numPr>
        <w:spacing w:after="120"/>
        <w:ind w:left="851" w:hanging="284"/>
        <w:jc w:val="both"/>
        <w:rPr>
          <w:rFonts w:eastAsia="Calibri" w:cs="Times New Roman"/>
          <w:sz w:val="24"/>
          <w:szCs w:val="24"/>
          <w:lang w:val="bg-BG"/>
        </w:rPr>
      </w:pPr>
      <w:r w:rsidRPr="00F53D15">
        <w:rPr>
          <w:rFonts w:eastAsia="Calibri" w:cs="Times New Roman"/>
          <w:sz w:val="24"/>
          <w:szCs w:val="24"/>
          <w:lang w:val="bg-BG"/>
        </w:rPr>
        <w:t>Обмисляне на нормативно установяване на процедурите и действията по проучване, разработване и налагане на методология, методики и конкретни изчисления на унифицирани ставки по опростено ценообразуване, и съответно – последващото им текущо наблюдение и актуализиране – на ниво УО и централно координиране на национално ниво.</w:t>
      </w:r>
    </w:p>
    <w:p w:rsidR="0004446F" w:rsidRPr="00F53D15" w:rsidRDefault="0004446F" w:rsidP="0004446F">
      <w:pPr>
        <w:spacing w:after="120"/>
        <w:jc w:val="both"/>
        <w:rPr>
          <w:rFonts w:eastAsia="Calibri" w:cs="Times New Roman"/>
          <w:sz w:val="24"/>
          <w:szCs w:val="24"/>
          <w:lang w:val="bg-BG"/>
        </w:rPr>
      </w:pPr>
    </w:p>
    <w:p w:rsidR="002432FE" w:rsidRPr="00580904" w:rsidRDefault="00D22F48" w:rsidP="00BF6F4A">
      <w:pPr>
        <w:pStyle w:val="Heading1"/>
        <w:numPr>
          <w:ilvl w:val="0"/>
          <w:numId w:val="1"/>
        </w:numPr>
        <w:spacing w:before="0" w:after="120"/>
        <w:jc w:val="both"/>
        <w:rPr>
          <w:smallCaps/>
          <w:sz w:val="28"/>
          <w:lang w:val="bg-BG"/>
        </w:rPr>
      </w:pPr>
      <w:r>
        <w:rPr>
          <w:smallCaps/>
          <w:sz w:val="28"/>
          <w:lang w:val="bg-BG"/>
        </w:rPr>
        <w:t>Заключения и препоръки, свързани с о</w:t>
      </w:r>
      <w:r w:rsidR="002432FE" w:rsidRPr="00580904">
        <w:rPr>
          <w:smallCaps/>
          <w:sz w:val="28"/>
          <w:lang w:val="bg-BG"/>
        </w:rPr>
        <w:t>бхвата и подходите на опростените разходи</w:t>
      </w:r>
    </w:p>
    <w:p w:rsidR="002432FE" w:rsidRPr="00580904" w:rsidRDefault="002432FE" w:rsidP="002432FE">
      <w:pPr>
        <w:pStyle w:val="NoSpacing"/>
        <w:spacing w:after="120" w:line="276" w:lineRule="auto"/>
        <w:ind w:firstLine="567"/>
        <w:jc w:val="both"/>
        <w:rPr>
          <w:sz w:val="24"/>
          <w:szCs w:val="24"/>
          <w:lang w:val="bg-BG"/>
        </w:rPr>
      </w:pPr>
      <w:r w:rsidRPr="00580904">
        <w:rPr>
          <w:sz w:val="24"/>
          <w:szCs w:val="24"/>
          <w:lang w:val="bg-BG"/>
        </w:rPr>
        <w:t>Нашият анализ показа, че има голямо разнообразие и разлики между отделните проекти, дейности, видове участници, експерти, лектори, разходи и т.н. Поради това опростяването на разходите не винаги и навсякъде би било приложимо. Необходимо е да бъдат ясно насочени усилията за опростяване в области, където биха имали най-голям ефект (възможности за максимално приемливо опростяване, максимално намаляване на административната тежест). В този смисъл би могло да се препоръча:</w:t>
      </w:r>
    </w:p>
    <w:p w:rsidR="002432FE" w:rsidRPr="00580904" w:rsidRDefault="002432FE" w:rsidP="00BF6F4A">
      <w:pPr>
        <w:pStyle w:val="ListParagraph"/>
        <w:numPr>
          <w:ilvl w:val="0"/>
          <w:numId w:val="10"/>
        </w:numPr>
        <w:spacing w:after="120"/>
        <w:ind w:left="851" w:hanging="284"/>
        <w:jc w:val="both"/>
        <w:rPr>
          <w:sz w:val="24"/>
          <w:szCs w:val="24"/>
          <w:lang w:val="bg-BG"/>
        </w:rPr>
      </w:pPr>
      <w:r w:rsidRPr="00580904">
        <w:rPr>
          <w:sz w:val="24"/>
          <w:szCs w:val="24"/>
          <w:lang w:val="bg-BG"/>
        </w:rPr>
        <w:t>Да се използват максимално възможностите за въвеждане на всички видове ставки, особено такива, за които има дългогодишна европейска практика (напр. процентни норми на индиректни разходи);</w:t>
      </w:r>
    </w:p>
    <w:p w:rsidR="002432FE" w:rsidRDefault="002432FE" w:rsidP="00BF6F4A">
      <w:pPr>
        <w:pStyle w:val="ListParagraph"/>
        <w:numPr>
          <w:ilvl w:val="0"/>
          <w:numId w:val="10"/>
        </w:numPr>
        <w:spacing w:after="120"/>
        <w:ind w:left="851" w:hanging="284"/>
        <w:jc w:val="both"/>
        <w:rPr>
          <w:sz w:val="24"/>
          <w:szCs w:val="24"/>
          <w:lang w:val="bg-BG"/>
        </w:rPr>
      </w:pPr>
      <w:r w:rsidRPr="00580904">
        <w:rPr>
          <w:sz w:val="24"/>
          <w:szCs w:val="24"/>
          <w:lang w:val="bg-BG"/>
        </w:rPr>
        <w:t xml:space="preserve">Опростените ставки би следвало да бъдат обсъдени с всички заинтересовани страни с цел съгласуване, отстраняване на неточности и препоръки, адекватна подкрепа и по-добри възможности за бъдещо използване. </w:t>
      </w:r>
    </w:p>
    <w:p w:rsidR="00987E87" w:rsidRPr="00580904" w:rsidRDefault="00987E87" w:rsidP="00BF6F4A">
      <w:pPr>
        <w:pStyle w:val="ListParagraph"/>
        <w:spacing w:after="120"/>
        <w:ind w:left="851"/>
        <w:jc w:val="both"/>
        <w:rPr>
          <w:sz w:val="24"/>
          <w:szCs w:val="24"/>
          <w:lang w:val="bg-BG"/>
        </w:rPr>
      </w:pPr>
    </w:p>
    <w:p w:rsidR="002432FE" w:rsidRPr="00580904" w:rsidRDefault="00D22F48" w:rsidP="00BF6F4A">
      <w:pPr>
        <w:pStyle w:val="Heading1"/>
        <w:numPr>
          <w:ilvl w:val="0"/>
          <w:numId w:val="1"/>
        </w:numPr>
        <w:spacing w:before="0" w:after="120"/>
        <w:jc w:val="both"/>
        <w:rPr>
          <w:smallCaps/>
          <w:sz w:val="28"/>
          <w:lang w:val="bg-BG"/>
        </w:rPr>
      </w:pPr>
      <w:r>
        <w:rPr>
          <w:smallCaps/>
          <w:sz w:val="28"/>
          <w:lang w:val="bg-BG"/>
        </w:rPr>
        <w:t>Заключения и препоръки, свързани с</w:t>
      </w:r>
      <w:r w:rsidR="002432FE" w:rsidRPr="00580904">
        <w:rPr>
          <w:smallCaps/>
          <w:sz w:val="28"/>
          <w:lang w:val="bg-BG"/>
        </w:rPr>
        <w:t xml:space="preserve"> алтернативни възможности за опростено оценяване на разходи - стойности и методики, приложими в ЕС за сходни типове дейности и бенефициенти </w:t>
      </w:r>
    </w:p>
    <w:p w:rsidR="00987E87" w:rsidRPr="00F53D15" w:rsidRDefault="00987E87" w:rsidP="00987E87">
      <w:pPr>
        <w:spacing w:after="120"/>
        <w:ind w:firstLine="567"/>
        <w:jc w:val="both"/>
        <w:rPr>
          <w:rFonts w:eastAsia="Calibri" w:cs="Times New Roman"/>
          <w:sz w:val="24"/>
          <w:szCs w:val="24"/>
          <w:lang w:val="bg-BG"/>
        </w:rPr>
      </w:pPr>
      <w:r w:rsidRPr="00F53D15">
        <w:rPr>
          <w:rFonts w:eastAsia="Calibri" w:cs="Times New Roman"/>
          <w:sz w:val="24"/>
          <w:szCs w:val="24"/>
          <w:lang w:val="bg-BG"/>
        </w:rPr>
        <w:t xml:space="preserve">Регламент (ЕС) №1303/2013 г., чл. 67, </w:t>
      </w:r>
      <w:proofErr w:type="spellStart"/>
      <w:r w:rsidRPr="00F53D15">
        <w:rPr>
          <w:rFonts w:eastAsia="Calibri" w:cs="Times New Roman"/>
          <w:sz w:val="24"/>
          <w:szCs w:val="24"/>
          <w:lang w:val="bg-BG"/>
        </w:rPr>
        <w:t>пар</w:t>
      </w:r>
      <w:proofErr w:type="spellEnd"/>
      <w:r w:rsidRPr="00F53D15">
        <w:rPr>
          <w:rFonts w:eastAsia="Calibri" w:cs="Times New Roman"/>
          <w:sz w:val="24"/>
          <w:szCs w:val="24"/>
          <w:lang w:val="bg-BG"/>
        </w:rPr>
        <w:t xml:space="preserve">. 5, б. „б”, „в” и „г” предоставя възможност безвъзмездните средства и възстановимата помощ, отпускани под формата на стандартна таблица на разходите за единица продукт и финансиране с единна ставка, да се определят и по следните начини: </w:t>
      </w:r>
    </w:p>
    <w:p w:rsidR="00987E87" w:rsidRPr="00F53D15" w:rsidRDefault="00987E87" w:rsidP="00BF6F4A">
      <w:pPr>
        <w:numPr>
          <w:ilvl w:val="0"/>
          <w:numId w:val="4"/>
        </w:numPr>
        <w:spacing w:after="120"/>
        <w:ind w:left="851" w:hanging="284"/>
        <w:jc w:val="both"/>
        <w:rPr>
          <w:rFonts w:eastAsia="Calibri" w:cs="Times New Roman"/>
          <w:sz w:val="24"/>
          <w:szCs w:val="24"/>
          <w:lang w:val="bg-BG"/>
        </w:rPr>
      </w:pPr>
      <w:r w:rsidRPr="00F53D15">
        <w:rPr>
          <w:rFonts w:eastAsia="Calibri" w:cs="Times New Roman"/>
          <w:sz w:val="24"/>
          <w:szCs w:val="24"/>
          <w:lang w:val="bg-BG"/>
        </w:rPr>
        <w:t>(б) в съответствие с правилата за прилагането на съответни таблици за разходите за единица продукт, еднократни суми и единни ставки, прилагани в други политики на Съюза за подобен тип операция и бенефициент;</w:t>
      </w:r>
    </w:p>
    <w:p w:rsidR="00987E87" w:rsidRPr="00F53D15" w:rsidRDefault="00987E87" w:rsidP="00BF6F4A">
      <w:pPr>
        <w:numPr>
          <w:ilvl w:val="0"/>
          <w:numId w:val="4"/>
        </w:numPr>
        <w:spacing w:after="120"/>
        <w:ind w:left="851" w:hanging="284"/>
        <w:jc w:val="both"/>
        <w:rPr>
          <w:rFonts w:eastAsia="Calibri" w:cs="Times New Roman"/>
          <w:sz w:val="24"/>
          <w:szCs w:val="24"/>
          <w:lang w:val="bg-BG"/>
        </w:rPr>
      </w:pPr>
      <w:r w:rsidRPr="00F53D15">
        <w:rPr>
          <w:rFonts w:eastAsia="Calibri" w:cs="Times New Roman"/>
          <w:sz w:val="24"/>
          <w:szCs w:val="24"/>
          <w:lang w:val="bg-BG"/>
        </w:rPr>
        <w:t>(в) еднократни суми, които не  надхвърлят 100 000 евро публичен принос; и</w:t>
      </w:r>
    </w:p>
    <w:p w:rsidR="00987E87" w:rsidRPr="00F53D15" w:rsidRDefault="00987E87" w:rsidP="00BF6F4A">
      <w:pPr>
        <w:numPr>
          <w:ilvl w:val="0"/>
          <w:numId w:val="4"/>
        </w:numPr>
        <w:spacing w:after="120"/>
        <w:ind w:left="851" w:hanging="284"/>
        <w:jc w:val="both"/>
        <w:rPr>
          <w:rFonts w:eastAsia="Calibri" w:cs="Times New Roman"/>
          <w:sz w:val="24"/>
          <w:szCs w:val="24"/>
          <w:lang w:val="bg-BG"/>
        </w:rPr>
      </w:pPr>
      <w:r w:rsidRPr="00F53D15">
        <w:rPr>
          <w:rFonts w:eastAsia="Calibri" w:cs="Times New Roman"/>
          <w:sz w:val="24"/>
          <w:szCs w:val="24"/>
          <w:lang w:val="bg-BG"/>
        </w:rPr>
        <w:t>(г) ставки, установени с настоящия регламент  (Регламент (ЕС) №1303/2013 г.) или с правилата за отделните фондове.</w:t>
      </w:r>
    </w:p>
    <w:p w:rsidR="00987E87" w:rsidRPr="00F53D15" w:rsidRDefault="00987E87" w:rsidP="00987E87">
      <w:pPr>
        <w:spacing w:after="120"/>
        <w:ind w:firstLine="567"/>
        <w:jc w:val="both"/>
        <w:rPr>
          <w:rFonts w:eastAsia="Calibri" w:cs="Times New Roman"/>
          <w:sz w:val="24"/>
          <w:szCs w:val="24"/>
          <w:lang w:val="bg-BG"/>
        </w:rPr>
      </w:pPr>
      <w:r w:rsidRPr="00F53D15">
        <w:rPr>
          <w:rFonts w:eastAsia="Calibri" w:cs="Times New Roman"/>
          <w:sz w:val="24"/>
          <w:szCs w:val="24"/>
          <w:lang w:val="bg-BG"/>
        </w:rPr>
        <w:t xml:space="preserve">С въвеждането на тези допълнителни методи се продължава установената през предходния програмен период тенденция за разширяване на опростяването на разходите като ключов момент за изместване на фокуса на програмите от усвояването на средствата към постигането на резултати. </w:t>
      </w:r>
    </w:p>
    <w:p w:rsidR="00987E87" w:rsidRPr="00F53D15" w:rsidRDefault="00987E87" w:rsidP="00987E87">
      <w:pPr>
        <w:spacing w:after="120"/>
        <w:ind w:firstLine="567"/>
        <w:jc w:val="both"/>
        <w:rPr>
          <w:rFonts w:eastAsia="Calibri" w:cs="Times New Roman"/>
          <w:sz w:val="24"/>
          <w:szCs w:val="24"/>
          <w:lang w:val="bg-BG"/>
        </w:rPr>
      </w:pPr>
      <w:r w:rsidRPr="00F53D15">
        <w:rPr>
          <w:rFonts w:eastAsia="Calibri" w:cs="Times New Roman"/>
          <w:sz w:val="24"/>
          <w:szCs w:val="24"/>
          <w:lang w:val="bg-BG"/>
        </w:rPr>
        <w:t>Направеното проучване относно прилагането на опростените разходи в периода 2007- 2013 г. от различните страни-членки и в други политики и програми на ЕС е описано подробно в Доклада от проведения анализ на приложението на стандартни таблици за разходи за единица продукт, изготвен в резултат на Дейност 1 „Анализ на приложението на стандартни таблици за разходи за единица от бенефициентите по проекти, реализирани със средства от ЕСИФ“ от изпълнението на договора.</w:t>
      </w:r>
    </w:p>
    <w:p w:rsidR="00987E87" w:rsidRPr="00F53D15" w:rsidRDefault="00987E87" w:rsidP="00987E87">
      <w:pPr>
        <w:spacing w:after="120"/>
        <w:ind w:firstLine="567"/>
        <w:jc w:val="both"/>
        <w:rPr>
          <w:rFonts w:eastAsia="Calibri" w:cs="Times New Roman"/>
          <w:b/>
          <w:sz w:val="24"/>
          <w:szCs w:val="24"/>
          <w:lang w:val="bg-BG"/>
        </w:rPr>
      </w:pPr>
      <w:r w:rsidRPr="00F53D15">
        <w:rPr>
          <w:rFonts w:eastAsia="Calibri" w:cs="Times New Roman"/>
          <w:sz w:val="24"/>
          <w:szCs w:val="24"/>
          <w:lang w:val="bg-BG"/>
        </w:rPr>
        <w:t xml:space="preserve">Прилагане на опростените разходи в настоящия програмен период 2014-2020 г. е оценено като ключов момент за по-доброто фокусиране върху резултатите. Тенденциите са за разширено прилагане и подобряване на правната им осигуреност. Регламентите предвиждат набор от различни възможности, от които може да се избере в зависимост от </w:t>
      </w:r>
      <w:r>
        <w:rPr>
          <w:rFonts w:eastAsia="Calibri" w:cs="Times New Roman"/>
          <w:sz w:val="24"/>
          <w:szCs w:val="24"/>
          <w:lang w:val="bg-BG"/>
        </w:rPr>
        <w:t>необходимостта</w:t>
      </w:r>
      <w:r w:rsidRPr="00F53D15">
        <w:rPr>
          <w:rFonts w:eastAsia="Calibri" w:cs="Times New Roman"/>
          <w:sz w:val="24"/>
          <w:szCs w:val="24"/>
          <w:lang w:val="bg-BG"/>
        </w:rPr>
        <w:t>.</w:t>
      </w:r>
    </w:p>
    <w:p w:rsidR="00987E87" w:rsidRPr="00F53D15" w:rsidRDefault="00987E87" w:rsidP="00987E87">
      <w:pPr>
        <w:spacing w:after="120"/>
        <w:ind w:firstLine="567"/>
        <w:jc w:val="both"/>
        <w:rPr>
          <w:rFonts w:eastAsia="Calibri" w:cs="Times New Roman"/>
          <w:b/>
          <w:i/>
          <w:sz w:val="24"/>
          <w:szCs w:val="24"/>
          <w:lang w:val="bg-BG"/>
        </w:rPr>
      </w:pPr>
      <w:r w:rsidRPr="00F53D15">
        <w:rPr>
          <w:rFonts w:eastAsia="Calibri" w:cs="Times New Roman"/>
          <w:b/>
          <w:i/>
          <w:sz w:val="24"/>
          <w:szCs w:val="24"/>
          <w:lang w:val="bg-BG"/>
        </w:rPr>
        <w:t>Екипът на Консултанта разгледа тези допълнителни възможности (подходи) за опростено оценяване на разходите като релевантни алтернативни решения за приложение при ценообразуването на част от определените като типични дейности</w:t>
      </w:r>
      <w:r>
        <w:rPr>
          <w:rFonts w:eastAsia="Calibri" w:cs="Times New Roman"/>
          <w:b/>
          <w:i/>
          <w:sz w:val="24"/>
          <w:szCs w:val="24"/>
        </w:rPr>
        <w:t xml:space="preserve">, </w:t>
      </w:r>
      <w:r w:rsidRPr="00F53D15">
        <w:rPr>
          <w:rFonts w:eastAsia="Calibri" w:cs="Times New Roman"/>
          <w:b/>
          <w:i/>
          <w:sz w:val="24"/>
          <w:szCs w:val="24"/>
          <w:lang w:val="bg-BG"/>
        </w:rPr>
        <w:t>като комбинации на всички допустими опции за опростено ценообразуване.</w:t>
      </w:r>
    </w:p>
    <w:p w:rsidR="00987E87" w:rsidRPr="00F53D15" w:rsidRDefault="00987E87" w:rsidP="00987E87">
      <w:pPr>
        <w:spacing w:after="120"/>
        <w:ind w:firstLine="567"/>
        <w:jc w:val="both"/>
        <w:rPr>
          <w:rFonts w:eastAsia="Calibri" w:cs="Times New Roman"/>
          <w:sz w:val="24"/>
          <w:szCs w:val="24"/>
          <w:lang w:val="bg-BG"/>
        </w:rPr>
      </w:pPr>
      <w:r w:rsidRPr="00F53D15">
        <w:rPr>
          <w:rFonts w:eastAsia="Calibri" w:cs="Times New Roman"/>
          <w:sz w:val="24"/>
          <w:szCs w:val="24"/>
          <w:lang w:val="bg-BG"/>
        </w:rPr>
        <w:t>Като примери за други политики и схеми на ЕС, чиито правила за прилагането на таблици за разходите за единица продукт, еднократни суми и единни ставки</w:t>
      </w:r>
      <w:r>
        <w:rPr>
          <w:rFonts w:eastAsia="Calibri" w:cs="Times New Roman"/>
          <w:sz w:val="24"/>
          <w:szCs w:val="24"/>
        </w:rPr>
        <w:t xml:space="preserve"> </w:t>
      </w:r>
      <w:r>
        <w:rPr>
          <w:rFonts w:eastAsia="Calibri" w:cs="Times New Roman"/>
          <w:sz w:val="24"/>
          <w:szCs w:val="24"/>
          <w:lang w:val="bg-BG"/>
        </w:rPr>
        <w:t>са</w:t>
      </w:r>
      <w:r w:rsidRPr="00F53D15">
        <w:rPr>
          <w:rFonts w:eastAsia="Calibri" w:cs="Times New Roman"/>
          <w:sz w:val="24"/>
          <w:szCs w:val="24"/>
          <w:lang w:val="bg-BG"/>
        </w:rPr>
        <w:t xml:space="preserve"> </w:t>
      </w:r>
      <w:r>
        <w:rPr>
          <w:rFonts w:eastAsia="Calibri" w:cs="Times New Roman"/>
          <w:sz w:val="24"/>
          <w:szCs w:val="24"/>
          <w:lang w:val="bg-BG"/>
        </w:rPr>
        <w:t>приложими</w:t>
      </w:r>
      <w:r w:rsidRPr="00F53D15">
        <w:rPr>
          <w:rFonts w:eastAsia="Calibri" w:cs="Times New Roman"/>
          <w:sz w:val="24"/>
          <w:szCs w:val="24"/>
          <w:lang w:val="bg-BG"/>
        </w:rPr>
        <w:t xml:space="preserve"> </w:t>
      </w:r>
      <w:r w:rsidRPr="00F53D15">
        <w:rPr>
          <w:rFonts w:eastAsia="Calibri" w:cs="Times New Roman"/>
          <w:sz w:val="24"/>
          <w:szCs w:val="24"/>
          <w:u w:val="single"/>
          <w:lang w:val="bg-BG"/>
        </w:rPr>
        <w:t>за подобен тип операция и бенефициент</w:t>
      </w:r>
      <w:r w:rsidRPr="00F53D15">
        <w:rPr>
          <w:rFonts w:eastAsia="Calibri" w:cs="Times New Roman"/>
          <w:sz w:val="24"/>
          <w:szCs w:val="24"/>
          <w:lang w:val="bg-BG"/>
        </w:rPr>
        <w:t xml:space="preserve"> съгласно регламента, могат да се  посочат</w:t>
      </w:r>
      <w:r>
        <w:rPr>
          <w:rFonts w:eastAsia="Calibri" w:cs="Times New Roman"/>
          <w:sz w:val="24"/>
          <w:szCs w:val="24"/>
          <w:lang w:val="bg-BG"/>
        </w:rPr>
        <w:t xml:space="preserve"> следните</w:t>
      </w:r>
      <w:r w:rsidRPr="00F53D15">
        <w:rPr>
          <w:rFonts w:eastAsia="Calibri" w:cs="Times New Roman"/>
          <w:sz w:val="24"/>
          <w:szCs w:val="24"/>
          <w:lang w:val="bg-BG"/>
        </w:rPr>
        <w:t>:</w:t>
      </w:r>
    </w:p>
    <w:p w:rsidR="00987E87" w:rsidRPr="00F53D15" w:rsidRDefault="00987E87" w:rsidP="00BF6F4A">
      <w:pPr>
        <w:numPr>
          <w:ilvl w:val="0"/>
          <w:numId w:val="5"/>
        </w:numPr>
        <w:spacing w:after="120"/>
        <w:ind w:left="851" w:hanging="284"/>
        <w:jc w:val="both"/>
        <w:rPr>
          <w:rFonts w:eastAsia="Calibri" w:cs="Times New Roman"/>
          <w:b/>
          <w:sz w:val="24"/>
          <w:szCs w:val="24"/>
          <w:lang w:val="bg-BG"/>
        </w:rPr>
      </w:pPr>
      <w:r w:rsidRPr="00F53D15">
        <w:rPr>
          <w:rFonts w:eastAsia="Calibri" w:cs="Times New Roman"/>
          <w:b/>
          <w:sz w:val="24"/>
          <w:szCs w:val="24"/>
          <w:lang w:val="bg-BG"/>
        </w:rPr>
        <w:t xml:space="preserve">Програма „Еразъм +” – програма на ЕС в областите на образованието, обучението, младежта и спорта за периода 2014-2020 г. </w:t>
      </w:r>
    </w:p>
    <w:p w:rsidR="00987E87" w:rsidRPr="00F53D15" w:rsidRDefault="00987E87" w:rsidP="00987E87">
      <w:pPr>
        <w:spacing w:after="120"/>
        <w:ind w:left="851"/>
        <w:jc w:val="both"/>
        <w:rPr>
          <w:rFonts w:eastAsia="Calibri" w:cs="Times New Roman"/>
          <w:sz w:val="24"/>
          <w:szCs w:val="24"/>
          <w:lang w:val="bg-BG"/>
        </w:rPr>
      </w:pPr>
      <w:r w:rsidRPr="00F53D15">
        <w:rPr>
          <w:rFonts w:eastAsia="Calibri" w:cs="Times New Roman"/>
          <w:sz w:val="24"/>
          <w:szCs w:val="24"/>
          <w:lang w:val="bg-BG"/>
        </w:rPr>
        <w:t>При спазване на изискването за подобен тип операция и бенефициент към Дейност 1 „Организиране на обучения и семинари”, Дейност 2 „</w:t>
      </w:r>
      <w:r w:rsidRPr="00F53D15">
        <w:rPr>
          <w:rFonts w:eastAsia="Times New Roman" w:cs="Times New Roman"/>
          <w:color w:val="000000"/>
          <w:sz w:val="24"/>
          <w:szCs w:val="24"/>
          <w:lang w:val="bg-BG" w:eastAsia="bg-BG"/>
        </w:rPr>
        <w:t xml:space="preserve">Организиране на (научни) конгреси и други подобни инициативи” и Дейност 3 „Организиране на информационни кампании/събития” </w:t>
      </w:r>
      <w:r w:rsidRPr="00F53D15">
        <w:rPr>
          <w:rFonts w:eastAsia="Calibri" w:cs="Times New Roman"/>
          <w:sz w:val="24"/>
          <w:szCs w:val="24"/>
          <w:lang w:val="bg-BG"/>
        </w:rPr>
        <w:t>биха могли да се приложат следните правила от програмата, валидни за:</w:t>
      </w:r>
    </w:p>
    <w:p w:rsidR="00987E87" w:rsidRPr="00F53D15" w:rsidRDefault="00987E87" w:rsidP="00BF6F4A">
      <w:pPr>
        <w:numPr>
          <w:ilvl w:val="0"/>
          <w:numId w:val="6"/>
        </w:numPr>
        <w:spacing w:after="120"/>
        <w:ind w:left="1134" w:hanging="283"/>
        <w:jc w:val="both"/>
        <w:rPr>
          <w:rFonts w:eastAsia="Calibri" w:cs="Times New Roman"/>
          <w:sz w:val="24"/>
          <w:szCs w:val="24"/>
          <w:lang w:val="bg-BG"/>
        </w:rPr>
      </w:pPr>
      <w:r w:rsidRPr="00F53D15">
        <w:rPr>
          <w:rFonts w:eastAsia="MS Gothic" w:cs="Times New Roman"/>
          <w:sz w:val="24"/>
          <w:szCs w:val="24"/>
          <w:lang w:val="bg-BG"/>
        </w:rPr>
        <w:t>Направление</w:t>
      </w:r>
      <w:r w:rsidRPr="00F53D15">
        <w:rPr>
          <w:rFonts w:eastAsia="Calibri" w:cs="Times New Roman"/>
          <w:sz w:val="24"/>
          <w:szCs w:val="24"/>
          <w:lang w:val="bg-BG"/>
        </w:rPr>
        <w:t xml:space="preserve"> „Стратегическо партньорство в областта на образованието, обучението и младежта“, свързано с организиране на дейности по обучение, преподаване или учене на отделни лица. Остойностяването е по таблица за единични разходи: а) за организиране на национални и транснационални конференции, семинари и събития остойностяването е на 1 участник на събитие/среща/конференция; б) за изготвяне на интелектуални продукти (като учебни програми, педагогически материали и материали за работа с младежи, образователни ресурси със свободен достъп, ИТ инструменти, анализи, проучвания, методи за взаимно обучение и др.) остойностяването е на 1 специалист, за 1 ден - определен в таблица по държава и тип специалист. </w:t>
      </w:r>
    </w:p>
    <w:p w:rsidR="00987E87" w:rsidRPr="00F53D15" w:rsidRDefault="00987E87" w:rsidP="00BF6F4A">
      <w:pPr>
        <w:numPr>
          <w:ilvl w:val="0"/>
          <w:numId w:val="6"/>
        </w:numPr>
        <w:spacing w:after="120"/>
        <w:ind w:left="1134" w:hanging="283"/>
        <w:jc w:val="both"/>
        <w:rPr>
          <w:rFonts w:eastAsia="Calibri" w:cs="Times New Roman"/>
          <w:sz w:val="24"/>
          <w:szCs w:val="24"/>
          <w:lang w:val="bg-BG"/>
        </w:rPr>
      </w:pPr>
      <w:r w:rsidRPr="00F53D15">
        <w:rPr>
          <w:rFonts w:eastAsia="MS Gothic" w:cs="Times New Roman"/>
          <w:sz w:val="24"/>
          <w:szCs w:val="24"/>
          <w:lang w:val="bg-BG"/>
        </w:rPr>
        <w:t xml:space="preserve">Направление „Секторни алианси на уменията“, свързано с дейности за определяне на потребностите от умения и провеждане на обучение в даден икономически </w:t>
      </w:r>
      <w:r w:rsidRPr="00F53D15">
        <w:rPr>
          <w:rFonts w:eastAsia="Calibri" w:cs="Times New Roman"/>
          <w:sz w:val="24"/>
          <w:szCs w:val="24"/>
          <w:lang w:val="bg-BG"/>
        </w:rPr>
        <w:t>сектор</w:t>
      </w:r>
      <w:r w:rsidRPr="00F53D15">
        <w:rPr>
          <w:rFonts w:eastAsia="MS Gothic" w:cs="Times New Roman"/>
          <w:sz w:val="24"/>
          <w:szCs w:val="24"/>
          <w:lang w:val="bg-BG"/>
        </w:rPr>
        <w:t xml:space="preserve">, разработване и провеждане на учебни програми. </w:t>
      </w:r>
      <w:r w:rsidRPr="00F53D15">
        <w:rPr>
          <w:rFonts w:eastAsia="Calibri" w:cs="Times New Roman"/>
          <w:sz w:val="24"/>
          <w:szCs w:val="24"/>
          <w:lang w:val="bg-BG"/>
        </w:rPr>
        <w:t>Опростяването</w:t>
      </w:r>
      <w:r w:rsidRPr="00F53D15">
        <w:rPr>
          <w:rFonts w:eastAsia="MS Gothic" w:cs="Times New Roman"/>
          <w:sz w:val="24"/>
          <w:szCs w:val="24"/>
          <w:lang w:val="bg-BG"/>
        </w:rPr>
        <w:t xml:space="preserve"> е по таблица за единични разходи: за организиране на срещи по проекта, изготвяне на интелектуални продукти, </w:t>
      </w:r>
      <w:r w:rsidRPr="00F53D15">
        <w:rPr>
          <w:rFonts w:eastAsia="Calibri" w:cs="Times New Roman"/>
          <w:sz w:val="24"/>
          <w:szCs w:val="24"/>
          <w:lang w:val="bg-BG"/>
        </w:rPr>
        <w:t>разпространение</w:t>
      </w:r>
      <w:r w:rsidRPr="00F53D15">
        <w:rPr>
          <w:rFonts w:eastAsia="MS Gothic" w:cs="Times New Roman"/>
          <w:sz w:val="24"/>
          <w:szCs w:val="24"/>
          <w:lang w:val="bg-BG"/>
        </w:rPr>
        <w:t xml:space="preserve"> на резултатите, участие в събития, конференции, и др. – остойностяването е на 1 специалист за 1 ден, определен в таблица по държава и тип специалист.</w:t>
      </w:r>
    </w:p>
    <w:p w:rsidR="00987E87" w:rsidRPr="00F53D15" w:rsidRDefault="00987E87" w:rsidP="00BF6F4A">
      <w:pPr>
        <w:numPr>
          <w:ilvl w:val="0"/>
          <w:numId w:val="6"/>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Направление „Алианси на познанията“, свързано с дейности по насърчаване на иновациите във висшето образование, бизнеса и общата социално-икономическа среда, развиване на предприемачески нагласи и учения и др. Опростяването</w:t>
      </w:r>
      <w:r w:rsidRPr="00F53D15">
        <w:rPr>
          <w:rFonts w:eastAsia="MS Gothic" w:cs="Times New Roman"/>
          <w:sz w:val="24"/>
          <w:szCs w:val="24"/>
          <w:lang w:val="bg-BG"/>
        </w:rPr>
        <w:t xml:space="preserve"> е по таблица за единични разходи: за организиране на срещи по проекта, изготвяне на интелектуални продукти </w:t>
      </w:r>
      <w:r w:rsidRPr="00F53D15">
        <w:rPr>
          <w:rFonts w:eastAsia="Calibri" w:cs="Times New Roman"/>
          <w:sz w:val="24"/>
          <w:szCs w:val="24"/>
          <w:lang w:val="bg-BG"/>
        </w:rPr>
        <w:t xml:space="preserve">(като учебни програми, педагогически материали и материали за работа с младежи, образователни ресурси със свободен достъп, ИТ инструменти, анализи, проучвания, методи за взаимно обучение и др.), </w:t>
      </w:r>
      <w:r w:rsidRPr="00F53D15">
        <w:rPr>
          <w:rFonts w:eastAsia="MS Gothic" w:cs="Times New Roman"/>
          <w:sz w:val="24"/>
          <w:szCs w:val="24"/>
          <w:lang w:val="bg-BG"/>
        </w:rPr>
        <w:t>участие в събития, конференции, и др.</w:t>
      </w:r>
      <w:r w:rsidRPr="00F53D15">
        <w:rPr>
          <w:rFonts w:eastAsia="Calibri" w:cs="Times New Roman"/>
          <w:sz w:val="24"/>
          <w:szCs w:val="24"/>
          <w:lang w:val="bg-BG"/>
        </w:rPr>
        <w:t xml:space="preserve"> – остойностяването е чрез единични разходи на 1 специалист, за 1 ден - определен в таблица по държава и тип специалист. </w:t>
      </w:r>
    </w:p>
    <w:p w:rsidR="00987E87" w:rsidRPr="00F53D15" w:rsidRDefault="00987E87" w:rsidP="00BF6F4A">
      <w:pPr>
        <w:numPr>
          <w:ilvl w:val="0"/>
          <w:numId w:val="6"/>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Инициативата „Жан Моне”, свързана с краткосрочни програми (или курсове) за обучение в областта на изследванията на Европейския съюз, реализирани от висши учебни институции, организиране на събития, разпространение на резултати и т.н. За всяка една от дейностите й се прилага опростяване на разходите чрез таблици за единични разходи. Предложени са цени за 1 час преподаване по държави, цена на 1 ден по държави за национални разходи за конференции и др.</w:t>
      </w:r>
    </w:p>
    <w:p w:rsidR="00987E87" w:rsidRPr="00F53D15" w:rsidRDefault="00987E87" w:rsidP="00BF6F4A">
      <w:pPr>
        <w:numPr>
          <w:ilvl w:val="0"/>
          <w:numId w:val="6"/>
        </w:numPr>
        <w:spacing w:after="120"/>
        <w:ind w:left="1134" w:hanging="283"/>
        <w:jc w:val="both"/>
        <w:rPr>
          <w:rFonts w:eastAsia="MS Gothic" w:cs="Times New Roman"/>
          <w:sz w:val="24"/>
          <w:szCs w:val="24"/>
          <w:lang w:val="bg-BG"/>
        </w:rPr>
      </w:pPr>
      <w:r w:rsidRPr="00F53D15">
        <w:rPr>
          <w:rFonts w:eastAsia="MS Gothic" w:cs="Times New Roman"/>
          <w:sz w:val="24"/>
          <w:szCs w:val="24"/>
          <w:lang w:val="bg-BG"/>
        </w:rPr>
        <w:t>Направление „Структуриран диалог”, чийто проекти за структуриран диалог могат да се реализират под формата на срещи, конференции, консултации и събития. Опростяването е по таблица за единични разходи – остойностяването за изпълнението на дейностите пряко свързани с подготовката и провеждането на дейността е на 1 участник, за 1 ден, по държави.</w:t>
      </w:r>
    </w:p>
    <w:p w:rsidR="00987E87" w:rsidRPr="00F53D15" w:rsidRDefault="00987E87" w:rsidP="00987E87">
      <w:pPr>
        <w:spacing w:after="120"/>
        <w:ind w:left="851"/>
        <w:jc w:val="both"/>
        <w:rPr>
          <w:rFonts w:eastAsia="Calibri" w:cs="Times New Roman"/>
          <w:sz w:val="24"/>
          <w:szCs w:val="24"/>
          <w:lang w:val="bg-BG"/>
        </w:rPr>
      </w:pPr>
      <w:r>
        <w:rPr>
          <w:rFonts w:eastAsia="Calibri" w:cs="Times New Roman"/>
          <w:sz w:val="24"/>
          <w:szCs w:val="24"/>
          <w:lang w:val="bg-BG"/>
        </w:rPr>
        <w:t>О</w:t>
      </w:r>
      <w:r w:rsidRPr="00F53D15">
        <w:rPr>
          <w:rFonts w:eastAsia="Calibri" w:cs="Times New Roman"/>
          <w:sz w:val="24"/>
          <w:szCs w:val="24"/>
          <w:lang w:val="bg-BG"/>
        </w:rPr>
        <w:t xml:space="preserve">добрените правила в направление „Алианси на познанията“ и направление „Сътрудничество за иновации и обмен на добри практики“, за остойностяване чрез единични разходи на дейностите, свързани с разработването на интелектуални продукти (като учебни програми, педагогически </w:t>
      </w:r>
      <w:r w:rsidRPr="00F53D15">
        <w:rPr>
          <w:rFonts w:eastAsia="Times New Roman" w:cs="Times New Roman"/>
          <w:color w:val="000000"/>
          <w:sz w:val="24"/>
          <w:szCs w:val="24"/>
          <w:lang w:val="bg-BG" w:eastAsia="bg-BG"/>
        </w:rPr>
        <w:t>материали</w:t>
      </w:r>
      <w:r w:rsidRPr="00F53D15">
        <w:rPr>
          <w:rFonts w:eastAsia="Calibri" w:cs="Times New Roman"/>
          <w:sz w:val="24"/>
          <w:szCs w:val="24"/>
          <w:lang w:val="bg-BG"/>
        </w:rPr>
        <w:t xml:space="preserve"> и материали за работа с младежи, образователни ресурси със свободен достъп, ИТ инструменти, анализи, проучвания, методи за взаимно обучение и др.</w:t>
      </w:r>
      <w:r>
        <w:rPr>
          <w:rFonts w:eastAsia="Calibri" w:cs="Times New Roman"/>
          <w:sz w:val="24"/>
          <w:szCs w:val="24"/>
          <w:lang w:val="bg-BG"/>
        </w:rPr>
        <w:t>,</w:t>
      </w:r>
      <w:r w:rsidRPr="00F53D15">
        <w:rPr>
          <w:rFonts w:eastAsia="Calibri" w:cs="Times New Roman"/>
          <w:sz w:val="24"/>
          <w:szCs w:val="24"/>
          <w:lang w:val="bg-BG"/>
        </w:rPr>
        <w:t xml:space="preserve"> </w:t>
      </w:r>
      <w:r>
        <w:rPr>
          <w:rFonts w:eastAsia="Calibri" w:cs="Times New Roman"/>
          <w:sz w:val="24"/>
          <w:szCs w:val="24"/>
          <w:lang w:val="bg-BG"/>
        </w:rPr>
        <w:t>биха могли да се приложат</w:t>
      </w:r>
      <w:r w:rsidRPr="00F53D15">
        <w:rPr>
          <w:rFonts w:eastAsia="Calibri" w:cs="Times New Roman"/>
          <w:sz w:val="24"/>
          <w:szCs w:val="24"/>
          <w:lang w:val="bg-BG"/>
        </w:rPr>
        <w:t xml:space="preserve"> и в дейност 11 „Разработване на процедури и ръководства”.</w:t>
      </w:r>
    </w:p>
    <w:p w:rsidR="00987E87" w:rsidRPr="00F53D15" w:rsidRDefault="00987E87" w:rsidP="00BF6F4A">
      <w:pPr>
        <w:numPr>
          <w:ilvl w:val="0"/>
          <w:numId w:val="7"/>
        </w:numPr>
        <w:autoSpaceDE w:val="0"/>
        <w:autoSpaceDN w:val="0"/>
        <w:adjustRightInd w:val="0"/>
        <w:spacing w:after="120"/>
        <w:ind w:left="851" w:hanging="284"/>
        <w:jc w:val="both"/>
        <w:rPr>
          <w:rFonts w:eastAsia="Calibri" w:cs="Times New Roman"/>
          <w:sz w:val="24"/>
          <w:szCs w:val="24"/>
          <w:lang w:val="bg-BG"/>
        </w:rPr>
      </w:pPr>
      <w:r w:rsidRPr="00F53D15">
        <w:rPr>
          <w:rFonts w:eastAsia="Calibri" w:cs="Times New Roman"/>
          <w:b/>
          <w:i/>
          <w:sz w:val="24"/>
          <w:szCs w:val="24"/>
          <w:lang w:val="bg-BG"/>
        </w:rPr>
        <w:t>Програма „Европа за гражданите”</w:t>
      </w:r>
      <w:r w:rsidRPr="00F53D15">
        <w:rPr>
          <w:rFonts w:eastAsia="Calibri" w:cs="Times New Roman"/>
          <w:sz w:val="24"/>
          <w:szCs w:val="24"/>
          <w:lang w:val="bg-BG"/>
        </w:rPr>
        <w:t xml:space="preserve"> – програма на ЕС за постигане на по-добро разбиране за миналото, общата история, общите ценности и целта на ЕС, както и за насърчаване на участието на гражданите в демократичния процес и гражданското общество на ниво ЕС. Финансирането е по две направления – безвъзмездни средства за дейности (за действия с ограничен срок, по време на който се изпълняват конкретни предложени дейности) и безвъзмездни средства за оперативни разходи (осигуряват финансова подкрепа за разходи за персонала, разходи за вътрешни заседания, публикации, информация и разпространение, пътни разходи, произтичащи от изпълнението на работната програма, разходи за наеми, разходи за амортизация и други разходи, пряко свързани с работната програма на организацията).</w:t>
      </w:r>
    </w:p>
    <w:p w:rsidR="00987E87" w:rsidRPr="00F53D15" w:rsidRDefault="00987E87" w:rsidP="00987E87">
      <w:pPr>
        <w:autoSpaceDE w:val="0"/>
        <w:autoSpaceDN w:val="0"/>
        <w:adjustRightInd w:val="0"/>
        <w:spacing w:after="120"/>
        <w:ind w:left="851"/>
        <w:jc w:val="both"/>
        <w:rPr>
          <w:rFonts w:eastAsia="Calibri" w:cs="Times New Roman"/>
          <w:sz w:val="24"/>
          <w:szCs w:val="24"/>
          <w:lang w:val="bg-BG"/>
        </w:rPr>
      </w:pPr>
      <w:r w:rsidRPr="00F53D15">
        <w:rPr>
          <w:rFonts w:eastAsia="Calibri" w:cs="Times New Roman"/>
          <w:sz w:val="24"/>
          <w:szCs w:val="24"/>
          <w:lang w:val="bg-BG"/>
        </w:rPr>
        <w:t>Безвъзмездните средства се изчисляват въз основа на система за финансиране чрез еднократни суми. Еднократните суми покриват всички допустими разходи за действията, а именно: разходи за персонала, пряко свързани с действието; пътни и дневни разходи на участниците в мероприятията; наем на зала/устен превод/писмен превод, необходими за осъществяване на мероприятията; разходи за комуникация/разпространение, свързани с мероприятията; разходи за координация, произтичащи от участието на няколко организации; разходи за изследвания и ИТ инструменти, необходими за подготвителните дейности. Единичната цена е определена за 1 мероприятие в зависимост от броя на участниците (обучаваните) в мероприятието и страните участнички в скала от 6 нива. Определени са и еднократни суми за 1 мероприятие, вкл. и за подготвителните му дейности според броя на участниците, (като е възприета скала от 4 нива) когато няма участие на повече от 1 страна.</w:t>
      </w:r>
    </w:p>
    <w:p w:rsidR="00987E87" w:rsidRPr="00F53D15" w:rsidRDefault="00987E87" w:rsidP="00987E87">
      <w:pPr>
        <w:autoSpaceDE w:val="0"/>
        <w:autoSpaceDN w:val="0"/>
        <w:adjustRightInd w:val="0"/>
        <w:spacing w:after="120"/>
        <w:ind w:left="851"/>
        <w:jc w:val="both"/>
        <w:rPr>
          <w:rFonts w:eastAsia="Calibri" w:cs="Times New Roman"/>
          <w:sz w:val="24"/>
          <w:szCs w:val="24"/>
          <w:lang w:val="bg-BG"/>
        </w:rPr>
      </w:pPr>
      <w:r>
        <w:rPr>
          <w:rFonts w:eastAsia="Calibri" w:cs="Times New Roman"/>
          <w:sz w:val="24"/>
          <w:szCs w:val="24"/>
          <w:lang w:val="bg-BG"/>
        </w:rPr>
        <w:t>Правилата</w:t>
      </w:r>
      <w:r w:rsidRPr="00F53D15">
        <w:rPr>
          <w:rFonts w:eastAsia="Calibri" w:cs="Times New Roman"/>
          <w:sz w:val="24"/>
          <w:szCs w:val="24"/>
          <w:lang w:val="bg-BG"/>
        </w:rPr>
        <w:t xml:space="preserve"> на програма „Европа за гражданите” </w:t>
      </w:r>
      <w:r>
        <w:rPr>
          <w:rFonts w:eastAsia="Calibri" w:cs="Times New Roman"/>
          <w:sz w:val="24"/>
          <w:szCs w:val="24"/>
          <w:lang w:val="bg-BG"/>
        </w:rPr>
        <w:t>биха могли да се приложат</w:t>
      </w:r>
      <w:r w:rsidRPr="00F53D15">
        <w:rPr>
          <w:rFonts w:eastAsia="Calibri" w:cs="Times New Roman"/>
          <w:sz w:val="24"/>
          <w:szCs w:val="24"/>
          <w:lang w:val="bg-BG"/>
        </w:rPr>
        <w:t xml:space="preserve"> при първите три дейности, изброени по-горе, спазвайки изискването на регламента за подобен тип операция и бенефициент. </w:t>
      </w:r>
    </w:p>
    <w:p w:rsidR="00987E87" w:rsidRPr="00117077" w:rsidRDefault="00987E87" w:rsidP="00BF6F4A">
      <w:pPr>
        <w:numPr>
          <w:ilvl w:val="0"/>
          <w:numId w:val="3"/>
        </w:numPr>
        <w:autoSpaceDE w:val="0"/>
        <w:autoSpaceDN w:val="0"/>
        <w:adjustRightInd w:val="0"/>
        <w:spacing w:after="120"/>
        <w:ind w:left="851" w:hanging="284"/>
        <w:jc w:val="both"/>
        <w:rPr>
          <w:rFonts w:eastAsia="Calibri" w:cs="Times New Roman"/>
          <w:sz w:val="24"/>
          <w:szCs w:val="24"/>
          <w:lang w:val="bg-BG"/>
        </w:rPr>
      </w:pPr>
      <w:r w:rsidRPr="00F53D15">
        <w:rPr>
          <w:rFonts w:eastAsia="Calibri" w:cs="Times New Roman"/>
          <w:b/>
          <w:i/>
          <w:sz w:val="24"/>
          <w:szCs w:val="24"/>
          <w:lang w:val="bg-BG"/>
        </w:rPr>
        <w:t>Програма „Хоризонт 2020”</w:t>
      </w:r>
      <w:r w:rsidRPr="00F53D15">
        <w:rPr>
          <w:rFonts w:eastAsia="Calibri" w:cs="Times New Roman"/>
          <w:sz w:val="24"/>
          <w:szCs w:val="24"/>
          <w:lang w:val="bg-BG"/>
        </w:rPr>
        <w:t xml:space="preserve"> – рамкова програма на ЕС за научни изследвания и иновации (2014-2020). В програмата са определени единни ставки за финансиране на участието (положения труд) на собствениците на малки и средни предприятия и физически лица, работещи без възнаграждения по дейности, свързани с иновации. </w:t>
      </w:r>
      <w:r>
        <w:rPr>
          <w:rFonts w:eastAsia="Calibri" w:cs="Times New Roman"/>
          <w:sz w:val="24"/>
          <w:szCs w:val="24"/>
          <w:lang w:val="bg-BG"/>
        </w:rPr>
        <w:t>Правилата</w:t>
      </w:r>
      <w:r w:rsidRPr="00F53D15">
        <w:rPr>
          <w:rFonts w:eastAsia="Calibri" w:cs="Times New Roman"/>
          <w:sz w:val="24"/>
          <w:szCs w:val="24"/>
          <w:lang w:val="bg-BG"/>
        </w:rPr>
        <w:t xml:space="preserve"> и ставки</w:t>
      </w:r>
      <w:r>
        <w:rPr>
          <w:rFonts w:eastAsia="Calibri" w:cs="Times New Roman"/>
          <w:sz w:val="24"/>
          <w:szCs w:val="24"/>
          <w:lang w:val="bg-BG"/>
        </w:rPr>
        <w:t xml:space="preserve">те на тази програма биха могли да се приложат при </w:t>
      </w:r>
      <w:r w:rsidRPr="00F53D15">
        <w:rPr>
          <w:rFonts w:eastAsia="Calibri" w:cs="Times New Roman"/>
          <w:sz w:val="24"/>
          <w:szCs w:val="24"/>
          <w:lang w:val="bg-BG"/>
        </w:rPr>
        <w:t xml:space="preserve"> дейност 5 „Иновации, научна и развойна дейност“.</w:t>
      </w:r>
    </w:p>
    <w:p w:rsidR="00987E87" w:rsidRPr="00F53D15" w:rsidRDefault="00987E87" w:rsidP="00987E87">
      <w:pPr>
        <w:spacing w:after="120"/>
        <w:ind w:firstLine="567"/>
        <w:jc w:val="both"/>
        <w:rPr>
          <w:rFonts w:eastAsia="Calibri" w:cs="Times New Roman"/>
          <w:sz w:val="24"/>
          <w:szCs w:val="24"/>
          <w:lang w:val="bg-BG"/>
        </w:rPr>
      </w:pPr>
      <w:r w:rsidRPr="00F53D15">
        <w:rPr>
          <w:rFonts w:eastAsia="Calibri" w:cs="Times New Roman"/>
          <w:sz w:val="24"/>
          <w:szCs w:val="24"/>
          <w:lang w:val="bg-BG"/>
        </w:rPr>
        <w:t xml:space="preserve">Основното ограничение за приложение на този подход, което съществува, е липсата на определение за </w:t>
      </w:r>
      <w:r w:rsidRPr="00F53D15">
        <w:rPr>
          <w:rFonts w:eastAsia="Calibri" w:cs="Times New Roman"/>
          <w:sz w:val="24"/>
          <w:szCs w:val="24"/>
          <w:u w:val="single"/>
          <w:lang w:val="bg-BG"/>
        </w:rPr>
        <w:t>изискването на Регламента за „подобен тип операция и бенефициент”</w:t>
      </w:r>
      <w:r w:rsidRPr="00F53D15">
        <w:rPr>
          <w:rFonts w:eastAsia="Calibri" w:cs="Times New Roman"/>
          <w:sz w:val="24"/>
          <w:szCs w:val="24"/>
          <w:lang w:val="bg-BG"/>
        </w:rPr>
        <w:t>, поради което има известна несигурност относно правилното му прилагане. За целите на правилното му използване</w:t>
      </w:r>
      <w:r>
        <w:rPr>
          <w:rFonts w:eastAsia="Calibri" w:cs="Times New Roman"/>
          <w:i/>
          <w:sz w:val="24"/>
          <w:szCs w:val="24"/>
          <w:lang w:val="bg-BG"/>
        </w:rPr>
        <w:t xml:space="preserve"> </w:t>
      </w:r>
      <w:r w:rsidRPr="00F53D15">
        <w:rPr>
          <w:rFonts w:eastAsia="Calibri" w:cs="Times New Roman"/>
          <w:i/>
          <w:sz w:val="24"/>
          <w:szCs w:val="24"/>
          <w:lang w:val="bg-BG"/>
        </w:rPr>
        <w:t>е важно всяка дейност, към която се прилагат правила от други политики на ЕС да бъде точно и пълно описана.</w:t>
      </w:r>
      <w:r w:rsidRPr="00F53D15">
        <w:rPr>
          <w:rFonts w:eastAsia="Calibri" w:cs="Times New Roman"/>
          <w:sz w:val="24"/>
          <w:szCs w:val="24"/>
          <w:lang w:val="bg-BG"/>
        </w:rPr>
        <w:t xml:space="preserve"> </w:t>
      </w:r>
    </w:p>
    <w:p w:rsidR="00987E87" w:rsidRPr="00F53D15" w:rsidRDefault="00987E87" w:rsidP="00987E87">
      <w:pPr>
        <w:spacing w:after="120"/>
        <w:ind w:firstLine="567"/>
        <w:jc w:val="both"/>
        <w:rPr>
          <w:rFonts w:eastAsia="Calibri" w:cs="Times New Roman"/>
          <w:sz w:val="24"/>
          <w:szCs w:val="24"/>
          <w:lang w:val="bg-BG"/>
        </w:rPr>
      </w:pPr>
      <w:r w:rsidRPr="00F53D15">
        <w:rPr>
          <w:rFonts w:eastAsia="Calibri" w:cs="Times New Roman"/>
          <w:sz w:val="24"/>
          <w:szCs w:val="24"/>
          <w:lang w:val="bg-BG"/>
        </w:rPr>
        <w:t>Финансирането с единна ставка през програмен период 2014-2020 г. може да се използва за изчисляване на всяка категория разходи – преки и косвени разходи. Регламентите за отделните фондове предоставят различни възможности за прилагане на финансиране с единна ставка.</w:t>
      </w:r>
    </w:p>
    <w:p w:rsidR="00987E87" w:rsidRPr="00F53D15" w:rsidRDefault="00987E87" w:rsidP="00987E87">
      <w:pPr>
        <w:spacing w:after="120"/>
        <w:ind w:firstLine="567"/>
        <w:jc w:val="both"/>
        <w:rPr>
          <w:rFonts w:eastAsia="Calibri" w:cs="Times New Roman"/>
          <w:sz w:val="24"/>
          <w:szCs w:val="24"/>
          <w:lang w:val="bg-BG"/>
        </w:rPr>
      </w:pPr>
      <w:r w:rsidRPr="00F53D15">
        <w:rPr>
          <w:rFonts w:eastAsia="Calibri" w:cs="Times New Roman"/>
          <w:sz w:val="24"/>
          <w:szCs w:val="24"/>
          <w:lang w:val="bg-BG"/>
        </w:rPr>
        <w:t xml:space="preserve">Разходите за организация и управление включват не само разходи за труд, т.е. дейности, изпълнявани само с човешки ресурс, а обхващат и други видове материални разходи като наем, режийни, командировъчни разходи, канцеларски материали и др., необходими за административното изпълнение на дейностите по организация и управление. В програмен период 2007 – 2013 те са били лимитирани в процентно отношение спрямо други разходи в бюджета на проекта и стойността им е варирала в зависимост от типа бенефициент и размера на бюджета. </w:t>
      </w:r>
      <w:r w:rsidRPr="00F53D15">
        <w:rPr>
          <w:rFonts w:eastAsia="Calibri" w:cs="Times New Roman"/>
          <w:b/>
          <w:i/>
          <w:sz w:val="24"/>
          <w:szCs w:val="24"/>
          <w:lang w:val="bg-BG"/>
        </w:rPr>
        <w:t xml:space="preserve">Екипът на Консултанта е на позиция, че подобно решение трябва да се намери и в настоящия период за финансиране на разходите за организация и управление чрез единна ставка, което е по-подходящия, по-релевантен и по-малко трудоемък подход за оценяване. Важен аргумент в полза на прилагането на единна ставка за косвените разходи, свързани с дейността по организацията и управлението на проекти, е и практиката на другите страни-членки </w:t>
      </w:r>
      <w:r w:rsidRPr="00F53D15">
        <w:rPr>
          <w:rFonts w:eastAsia="Calibri" w:cs="Times New Roman"/>
          <w:sz w:val="24"/>
          <w:szCs w:val="24"/>
          <w:lang w:val="bg-BG"/>
        </w:rPr>
        <w:t xml:space="preserve">(която подробно е описана в анализа по Дейност 1 от договора). </w:t>
      </w:r>
    </w:p>
    <w:p w:rsidR="00987E87" w:rsidRPr="00F53D15" w:rsidRDefault="00987E87" w:rsidP="00987E87">
      <w:pPr>
        <w:spacing w:after="120"/>
        <w:ind w:firstLine="567"/>
        <w:jc w:val="both"/>
        <w:rPr>
          <w:rFonts w:eastAsia="Calibri" w:cs="Times New Roman"/>
          <w:b/>
          <w:sz w:val="24"/>
          <w:szCs w:val="24"/>
          <w:u w:val="single"/>
          <w:lang w:val="bg-BG"/>
        </w:rPr>
      </w:pPr>
      <w:r w:rsidRPr="00F53D15">
        <w:rPr>
          <w:rFonts w:eastAsia="Calibri" w:cs="Times New Roman"/>
          <w:b/>
          <w:sz w:val="24"/>
          <w:szCs w:val="24"/>
          <w:u w:val="single"/>
          <w:lang w:val="bg-BG"/>
        </w:rPr>
        <w:t>Препоръката на екипа е</w:t>
      </w:r>
      <w:r>
        <w:rPr>
          <w:rFonts w:eastAsia="Calibri" w:cs="Times New Roman"/>
          <w:b/>
          <w:sz w:val="24"/>
          <w:szCs w:val="24"/>
          <w:u w:val="single"/>
          <w:lang w:val="bg-BG"/>
        </w:rPr>
        <w:t xml:space="preserve"> </w:t>
      </w:r>
      <w:r w:rsidRPr="00F53D15">
        <w:rPr>
          <w:rFonts w:eastAsia="Calibri" w:cs="Times New Roman"/>
          <w:b/>
          <w:sz w:val="24"/>
          <w:szCs w:val="24"/>
          <w:u w:val="single"/>
          <w:lang w:val="bg-BG"/>
        </w:rPr>
        <w:t>да се обмислят и следните варианти на прилагане на единни ставки, регламентирани в Регламента (ЕС) 1303/2013:</w:t>
      </w:r>
    </w:p>
    <w:p w:rsidR="00987E87" w:rsidRPr="00F53D15" w:rsidRDefault="00987E87" w:rsidP="00BF6F4A">
      <w:pPr>
        <w:numPr>
          <w:ilvl w:val="0"/>
          <w:numId w:val="8"/>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за всички проекти, за които преките разходи за персонал са определени като допустими преки разходи, да бъде приложена съгласно Регламент (ЕС) №1303/2013 (чл. 68, ал. 1, б „б“) единна ставка в размер 15% от допустимите преки разходи за персонал (без да се изисква от държавата-членка да извършва изчисления за определянето на приложимата ставка);</w:t>
      </w:r>
    </w:p>
    <w:p w:rsidR="00987E87" w:rsidRPr="00F53D15" w:rsidRDefault="00987E87" w:rsidP="00BF6F4A">
      <w:pPr>
        <w:numPr>
          <w:ilvl w:val="0"/>
          <w:numId w:val="8"/>
        </w:numPr>
        <w:spacing w:after="120"/>
        <w:ind w:left="1134" w:hanging="283"/>
        <w:jc w:val="both"/>
        <w:rPr>
          <w:rFonts w:eastAsia="Calibri" w:cs="Times New Roman"/>
          <w:sz w:val="24"/>
          <w:szCs w:val="24"/>
          <w:lang w:val="bg-BG"/>
        </w:rPr>
      </w:pPr>
      <w:r w:rsidRPr="00F53D15">
        <w:rPr>
          <w:rFonts w:eastAsia="Calibri" w:cs="Times New Roman"/>
          <w:sz w:val="24"/>
          <w:szCs w:val="24"/>
          <w:lang w:val="bg-BG"/>
        </w:rPr>
        <w:t>за проектите, в които няма определена като допустима дадена сума преки разходи за персонал според вида на проекта (видовете на проектите са изведени в анализа по Дейност 1 от договора като инвестиционни и неинвестиционни проекти) съгласно Регламент (ЕС) №1303/2013 (чл. 68, ал. 1, б. „а“), могат да се възприемат следните варианти:</w:t>
      </w:r>
    </w:p>
    <w:p w:rsidR="00BF6F4A" w:rsidRDefault="00987E87" w:rsidP="00BF6F4A">
      <w:pPr>
        <w:numPr>
          <w:ilvl w:val="0"/>
          <w:numId w:val="9"/>
        </w:numPr>
        <w:spacing w:after="120"/>
        <w:ind w:left="1418" w:hanging="284"/>
        <w:jc w:val="both"/>
        <w:rPr>
          <w:rFonts w:eastAsia="Calibri" w:cs="Times New Roman"/>
          <w:sz w:val="24"/>
          <w:szCs w:val="24"/>
          <w:lang w:val="bg-BG"/>
        </w:rPr>
      </w:pPr>
      <w:r w:rsidRPr="00F53D15">
        <w:rPr>
          <w:rFonts w:eastAsia="Calibri" w:cs="Times New Roman"/>
          <w:sz w:val="24"/>
          <w:szCs w:val="24"/>
          <w:lang w:val="bg-BG"/>
        </w:rPr>
        <w:t>за инвестиционните (инфраструктурни) проекти – единна ставка при скала от 2% до 10% от допустимите преки разходи, като ставката се определя на ниво бенефициент и бюджет на проекта при кандидатстването му за финансиране - прилагане на подход, специфичен за всеки бенефициент, чрез използване на заверени или подлежащи на одит ретроспективни данни на бенефициента или на обичайните му практики за определяне, оценка, калкулиране и анализ на разходите. Използвайки този подход (обичайните си практики), ако бенефициентът защити още при бюджетирането си цифрите, за тях не се иска доказване впоследствие. Ставката се изчислява въз основа на коректен, справедлив и проверим метод на изчисление;</w:t>
      </w:r>
    </w:p>
    <w:p w:rsidR="002471F7" w:rsidRPr="00BF6F4A" w:rsidRDefault="00987E87" w:rsidP="00BF6F4A">
      <w:pPr>
        <w:numPr>
          <w:ilvl w:val="0"/>
          <w:numId w:val="9"/>
        </w:numPr>
        <w:spacing w:after="120"/>
        <w:ind w:left="1418" w:hanging="284"/>
        <w:jc w:val="both"/>
        <w:rPr>
          <w:rFonts w:eastAsia="Calibri" w:cs="Times New Roman"/>
          <w:sz w:val="24"/>
          <w:szCs w:val="24"/>
          <w:lang w:val="bg-BG"/>
        </w:rPr>
      </w:pPr>
      <w:r w:rsidRPr="00BF6F4A">
        <w:rPr>
          <w:rFonts w:eastAsia="Calibri" w:cs="Times New Roman"/>
          <w:sz w:val="24"/>
          <w:szCs w:val="24"/>
          <w:lang w:val="bg-BG"/>
        </w:rPr>
        <w:t>за неинвестиционните проекти – единна ставка при скала от 10% до 20% от допустимите преки разходи по проекта  - като се прилага аналогичен подход както при инвестиционните проекти, т.е. подход, специфичен за всеки бенефициент, чрез използване на заверени или подлежащи на одит ретроспективни данни на бенефициента или на обичайните му практики за определяне, оценка, калкулиране и анализ на разходите.</w:t>
      </w:r>
    </w:p>
    <w:sectPr w:rsidR="002471F7" w:rsidRPr="00BF6F4A" w:rsidSect="008C544F">
      <w:headerReference w:type="default" r:id="rId8"/>
      <w:footerReference w:type="default" r:id="rId9"/>
      <w:headerReference w:type="first" r:id="rId10"/>
      <w:footerReference w:type="first" r:id="rId11"/>
      <w:pgSz w:w="11907" w:h="16840" w:code="9"/>
      <w:pgMar w:top="1417" w:right="1417" w:bottom="1417" w:left="1417" w:header="720" w:footer="57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F90" w:rsidRDefault="009E0F90" w:rsidP="00DD543F">
      <w:pPr>
        <w:spacing w:after="0" w:line="240" w:lineRule="auto"/>
      </w:pPr>
      <w:r>
        <w:separator/>
      </w:r>
    </w:p>
  </w:endnote>
  <w:endnote w:type="continuationSeparator" w:id="0">
    <w:p w:rsidR="009E0F90" w:rsidRDefault="009E0F90" w:rsidP="00DD54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EA0" w:rsidRDefault="00580EA0" w:rsidP="00FD461E">
    <w:pPr>
      <w:spacing w:after="0"/>
      <w:jc w:val="center"/>
      <w:rPr>
        <w:sz w:val="20"/>
        <w:szCs w:val="20"/>
        <w:lang w:val="bg-BG"/>
      </w:rPr>
    </w:pPr>
  </w:p>
  <w:tbl>
    <w:tblPr>
      <w:tblW w:w="0" w:type="auto"/>
      <w:tblBorders>
        <w:insideH w:val="single" w:sz="4" w:space="0" w:color="auto"/>
      </w:tblBorders>
      <w:tblLook w:val="04A0"/>
    </w:tblPr>
    <w:tblGrid>
      <w:gridCol w:w="9212"/>
    </w:tblGrid>
    <w:tr w:rsidR="00580EA0" w:rsidRPr="0007305C" w:rsidTr="007A29FD">
      <w:tc>
        <w:tcPr>
          <w:tcW w:w="9212" w:type="dxa"/>
          <w:tcBorders>
            <w:top w:val="single" w:sz="4" w:space="0" w:color="auto"/>
            <w:bottom w:val="nil"/>
          </w:tcBorders>
          <w:shd w:val="clear" w:color="auto" w:fill="auto"/>
        </w:tcPr>
        <w:p w:rsidR="00580EA0" w:rsidRDefault="00580EA0" w:rsidP="007A29FD">
          <w:pPr>
            <w:pStyle w:val="Footer"/>
            <w:spacing w:line="276" w:lineRule="auto"/>
            <w:ind w:left="-553"/>
            <w:jc w:val="center"/>
            <w:rPr>
              <w:bCs/>
              <w:sz w:val="14"/>
              <w:szCs w:val="14"/>
              <w:lang w:val="bg-BG"/>
            </w:rPr>
          </w:pPr>
        </w:p>
        <w:p w:rsidR="00580EA0" w:rsidRPr="00EE5750" w:rsidRDefault="00580EA0" w:rsidP="007A29FD">
          <w:pPr>
            <w:pStyle w:val="Footer"/>
            <w:spacing w:line="276" w:lineRule="auto"/>
            <w:ind w:left="15"/>
            <w:jc w:val="center"/>
            <w:rPr>
              <w:iCs/>
              <w:sz w:val="14"/>
              <w:szCs w:val="14"/>
              <w:lang w:val="bg-BG"/>
            </w:rPr>
          </w:pPr>
          <w:r w:rsidRPr="00EE5750">
            <w:rPr>
              <w:bCs/>
              <w:sz w:val="14"/>
              <w:szCs w:val="14"/>
              <w:lang w:val="bg-BG"/>
            </w:rPr>
            <w:t xml:space="preserve">Този документ е създаден в рамките на проект </w:t>
          </w:r>
          <w:r w:rsidRPr="00EE5750">
            <w:rPr>
              <w:color w:val="000000"/>
              <w:sz w:val="14"/>
              <w:szCs w:val="14"/>
              <w:lang w:val="bg-BG" w:eastAsia="bg-BG" w:bidi="en-US"/>
            </w:rPr>
            <w:t xml:space="preserve">№ 105-ЦКЗ-1.1. “Подпомагане работата на Централно координационно звено“, финансиран </w:t>
          </w:r>
          <w:r w:rsidRPr="00EE5750">
            <w:rPr>
              <w:sz w:val="14"/>
              <w:szCs w:val="14"/>
              <w:lang w:val="bg-BG" w:bidi="en-US"/>
            </w:rPr>
            <w:t xml:space="preserve"> </w:t>
          </w:r>
          <w:r w:rsidRPr="00EE5750">
            <w:rPr>
              <w:color w:val="000000"/>
              <w:sz w:val="14"/>
              <w:szCs w:val="14"/>
              <w:lang w:val="bg-BG" w:eastAsia="bg-BG" w:bidi="en-US"/>
            </w:rPr>
            <w:t>по Оперативна програма „Техническа помощ”</w:t>
          </w:r>
          <w:r w:rsidRPr="00EE5750">
            <w:rPr>
              <w:iCs/>
              <w:sz w:val="14"/>
              <w:szCs w:val="14"/>
              <w:lang w:val="bg-BG"/>
            </w:rPr>
            <w:t xml:space="preserve">, изпълняван от </w:t>
          </w:r>
          <w:r w:rsidRPr="00EE5750">
            <w:rPr>
              <w:sz w:val="14"/>
              <w:szCs w:val="14"/>
              <w:lang w:val="bg-BG"/>
            </w:rPr>
            <w:t>Администрация на Министерски съвет</w:t>
          </w:r>
        </w:p>
        <w:p w:rsidR="00580EA0" w:rsidRDefault="0066581D" w:rsidP="007A29FD">
          <w:pPr>
            <w:spacing w:after="0"/>
            <w:ind w:left="-695" w:firstLine="695"/>
            <w:jc w:val="center"/>
            <w:rPr>
              <w:rStyle w:val="Hyperlink"/>
              <w:rFonts w:eastAsia="Calibri"/>
              <w:iCs/>
              <w:sz w:val="14"/>
              <w:szCs w:val="14"/>
              <w:lang w:val="bg-BG" w:eastAsia="bg-BG"/>
            </w:rPr>
          </w:pPr>
          <w:hyperlink r:id="rId1" w:history="1">
            <w:r w:rsidR="00580EA0" w:rsidRPr="00EE5750">
              <w:rPr>
                <w:rStyle w:val="Hyperlink"/>
                <w:rFonts w:eastAsia="Calibri"/>
                <w:iCs/>
                <w:sz w:val="14"/>
                <w:szCs w:val="14"/>
                <w:lang w:val="bg-BG" w:eastAsia="bg-BG"/>
              </w:rPr>
              <w:t>www.eufunds.bg</w:t>
            </w:r>
          </w:hyperlink>
        </w:p>
        <w:p w:rsidR="00580EA0" w:rsidRPr="00B01498" w:rsidRDefault="00580EA0" w:rsidP="007A29FD">
          <w:pPr>
            <w:spacing w:after="0"/>
            <w:ind w:left="-695" w:firstLine="695"/>
            <w:jc w:val="center"/>
            <w:rPr>
              <w:rFonts w:eastAsia="Calibri"/>
              <w:iCs/>
              <w:sz w:val="14"/>
              <w:szCs w:val="14"/>
              <w:lang w:val="bg-BG" w:eastAsia="bg-BG"/>
            </w:rPr>
          </w:pPr>
        </w:p>
      </w:tc>
    </w:tr>
    <w:tr w:rsidR="00580EA0" w:rsidRPr="0007305C" w:rsidTr="007A29FD">
      <w:tc>
        <w:tcPr>
          <w:tcW w:w="9212" w:type="dxa"/>
          <w:tcBorders>
            <w:top w:val="nil"/>
            <w:bottom w:val="nil"/>
          </w:tcBorders>
          <w:shd w:val="clear" w:color="auto" w:fill="auto"/>
        </w:tcPr>
        <w:p w:rsidR="00580EA0" w:rsidRPr="0007305C" w:rsidRDefault="00580EA0" w:rsidP="007A29FD">
          <w:pPr>
            <w:pStyle w:val="Title"/>
            <w:spacing w:line="276" w:lineRule="auto"/>
            <w:rPr>
              <w:sz w:val="16"/>
              <w:szCs w:val="16"/>
            </w:rPr>
          </w:pPr>
          <w:r w:rsidRPr="007F13FD">
            <w:rPr>
              <w:sz w:val="20"/>
            </w:rPr>
            <w:t xml:space="preserve">стр. </w:t>
          </w:r>
          <w:r w:rsidR="0066581D" w:rsidRPr="007F13FD">
            <w:rPr>
              <w:sz w:val="20"/>
            </w:rPr>
            <w:fldChar w:fldCharType="begin"/>
          </w:r>
          <w:r w:rsidRPr="007F13FD">
            <w:rPr>
              <w:sz w:val="20"/>
            </w:rPr>
            <w:instrText xml:space="preserve"> PAGE </w:instrText>
          </w:r>
          <w:r w:rsidR="0066581D" w:rsidRPr="007F13FD">
            <w:rPr>
              <w:sz w:val="20"/>
            </w:rPr>
            <w:fldChar w:fldCharType="separate"/>
          </w:r>
          <w:r w:rsidR="007B2B54">
            <w:rPr>
              <w:noProof/>
              <w:sz w:val="20"/>
            </w:rPr>
            <w:t>13</w:t>
          </w:r>
          <w:r w:rsidR="0066581D" w:rsidRPr="007F13FD">
            <w:rPr>
              <w:sz w:val="20"/>
            </w:rPr>
            <w:fldChar w:fldCharType="end"/>
          </w:r>
          <w:r w:rsidRPr="007F13FD">
            <w:rPr>
              <w:sz w:val="20"/>
            </w:rPr>
            <w:t>/</w:t>
          </w:r>
          <w:r w:rsidR="0066581D" w:rsidRPr="007F13FD">
            <w:rPr>
              <w:sz w:val="20"/>
            </w:rPr>
            <w:fldChar w:fldCharType="begin"/>
          </w:r>
          <w:r w:rsidRPr="007F13FD">
            <w:rPr>
              <w:sz w:val="20"/>
            </w:rPr>
            <w:instrText xml:space="preserve"> NUMPAGES  </w:instrText>
          </w:r>
          <w:r w:rsidR="0066581D" w:rsidRPr="007F13FD">
            <w:rPr>
              <w:sz w:val="20"/>
            </w:rPr>
            <w:fldChar w:fldCharType="separate"/>
          </w:r>
          <w:r w:rsidR="007B2B54">
            <w:rPr>
              <w:noProof/>
              <w:sz w:val="20"/>
            </w:rPr>
            <w:t>13</w:t>
          </w:r>
          <w:r w:rsidR="0066581D" w:rsidRPr="007F13FD">
            <w:rPr>
              <w:sz w:val="20"/>
            </w:rPr>
            <w:fldChar w:fldCharType="end"/>
          </w:r>
        </w:p>
      </w:tc>
    </w:tr>
  </w:tbl>
  <w:p w:rsidR="00580EA0" w:rsidRPr="00FD461E" w:rsidRDefault="00580EA0" w:rsidP="00FD461E">
    <w:pPr>
      <w:spacing w:after="0"/>
      <w:rPr>
        <w:sz w:val="2"/>
        <w:szCs w:val="2"/>
        <w:lang w:val="bg-BG"/>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9212"/>
    </w:tblGrid>
    <w:tr w:rsidR="00580EA0" w:rsidRPr="00096FB6" w:rsidTr="000E2347">
      <w:trPr>
        <w:trHeight w:val="483"/>
      </w:trPr>
      <w:tc>
        <w:tcPr>
          <w:tcW w:w="9212" w:type="dxa"/>
          <w:tcBorders>
            <w:top w:val="single" w:sz="4" w:space="0" w:color="auto"/>
          </w:tcBorders>
          <w:shd w:val="clear" w:color="auto" w:fill="auto"/>
        </w:tcPr>
        <w:p w:rsidR="00580EA0" w:rsidRPr="000E2347" w:rsidRDefault="00580EA0" w:rsidP="007F13FD">
          <w:pPr>
            <w:spacing w:after="0"/>
            <w:jc w:val="center"/>
            <w:rPr>
              <w:b/>
              <w:sz w:val="16"/>
              <w:szCs w:val="16"/>
              <w:lang w:val="bg-BG"/>
            </w:rPr>
          </w:pPr>
        </w:p>
        <w:p w:rsidR="00580EA0" w:rsidRPr="000E2347" w:rsidRDefault="00580EA0" w:rsidP="007F13FD">
          <w:pPr>
            <w:spacing w:after="0"/>
            <w:jc w:val="center"/>
            <w:rPr>
              <w:b/>
              <w:sz w:val="16"/>
              <w:szCs w:val="16"/>
              <w:lang w:val="bg-BG"/>
            </w:rPr>
          </w:pPr>
          <w:r w:rsidRPr="000E2347">
            <w:rPr>
              <w:b/>
              <w:sz w:val="16"/>
              <w:szCs w:val="16"/>
              <w:lang w:val="bg-BG"/>
            </w:rPr>
            <w:t>Изпълнител: ДЗЗД Консорциум „ИДЕИН-ФПИ-АФА”</w:t>
          </w:r>
        </w:p>
        <w:p w:rsidR="00580EA0" w:rsidRPr="000E2347" w:rsidRDefault="00580EA0" w:rsidP="007F13FD">
          <w:pPr>
            <w:spacing w:after="0"/>
            <w:jc w:val="center"/>
            <w:rPr>
              <w:b/>
              <w:sz w:val="16"/>
              <w:szCs w:val="16"/>
              <w:lang w:val="bg-BG"/>
            </w:rPr>
          </w:pPr>
          <w:r w:rsidRPr="000E2347">
            <w:rPr>
              <w:b/>
              <w:sz w:val="16"/>
              <w:szCs w:val="16"/>
              <w:lang w:val="bg-BG"/>
            </w:rPr>
            <w:t>Адрес на изпълнителя: ул. „Българска морава” №54, ет. 7, 1303 София, България</w:t>
          </w:r>
        </w:p>
        <w:p w:rsidR="00580EA0" w:rsidRPr="000E2347" w:rsidRDefault="00580EA0" w:rsidP="007F13FD">
          <w:pPr>
            <w:spacing w:after="0"/>
            <w:jc w:val="center"/>
            <w:rPr>
              <w:b/>
              <w:sz w:val="16"/>
              <w:szCs w:val="16"/>
              <w:lang w:val="bg-BG"/>
            </w:rPr>
          </w:pPr>
        </w:p>
      </w:tc>
    </w:tr>
    <w:tr w:rsidR="00580EA0" w:rsidRPr="000E2347" w:rsidTr="007F13FD">
      <w:trPr>
        <w:trHeight w:val="483"/>
      </w:trPr>
      <w:tc>
        <w:tcPr>
          <w:tcW w:w="9212" w:type="dxa"/>
          <w:shd w:val="clear" w:color="auto" w:fill="auto"/>
        </w:tcPr>
        <w:tbl>
          <w:tblPr>
            <w:tblW w:w="0" w:type="auto"/>
            <w:jc w:val="center"/>
            <w:tblLook w:val="04A0"/>
          </w:tblPr>
          <w:tblGrid>
            <w:gridCol w:w="2303"/>
            <w:gridCol w:w="2303"/>
            <w:gridCol w:w="2303"/>
          </w:tblGrid>
          <w:tr w:rsidR="00580EA0" w:rsidRPr="000E2347" w:rsidTr="00536D1E">
            <w:trPr>
              <w:jc w:val="center"/>
            </w:trPr>
            <w:tc>
              <w:tcPr>
                <w:tcW w:w="2303" w:type="dxa"/>
                <w:vAlign w:val="center"/>
              </w:tcPr>
              <w:p w:rsidR="00580EA0" w:rsidRPr="000E2347" w:rsidRDefault="00580EA0" w:rsidP="007F13FD">
                <w:pPr>
                  <w:spacing w:after="0"/>
                  <w:jc w:val="center"/>
                  <w:rPr>
                    <w:b/>
                    <w:sz w:val="16"/>
                    <w:szCs w:val="16"/>
                    <w:lang w:val="bg-BG"/>
                  </w:rPr>
                </w:pPr>
                <w:r w:rsidRPr="000E2347">
                  <w:rPr>
                    <w:b/>
                    <w:noProof/>
                    <w:sz w:val="16"/>
                    <w:szCs w:val="16"/>
                  </w:rPr>
                  <w:drawing>
                    <wp:inline distT="0" distB="0" distL="0" distR="0">
                      <wp:extent cx="952500" cy="219075"/>
                      <wp:effectExtent l="19050" t="0" r="0" b="0"/>
                      <wp:docPr id="1" name="Картина 10" descr="s_cf455fcd8a9902a0e225a900fe7adb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descr="s_cf455fcd8a9902a0e225a900fe7adb08.jpg"/>
                              <pic:cNvPicPr>
                                <a:picLocks noChangeAspect="1" noChangeArrowheads="1"/>
                              </pic:cNvPicPr>
                            </pic:nvPicPr>
                            <pic:blipFill>
                              <a:blip r:embed="rId1"/>
                              <a:srcRect/>
                              <a:stretch>
                                <a:fillRect/>
                              </a:stretch>
                            </pic:blipFill>
                            <pic:spPr bwMode="auto">
                              <a:xfrm>
                                <a:off x="0" y="0"/>
                                <a:ext cx="952500" cy="219075"/>
                              </a:xfrm>
                              <a:prstGeom prst="rect">
                                <a:avLst/>
                              </a:prstGeom>
                              <a:noFill/>
                              <a:ln w="9525">
                                <a:noFill/>
                                <a:miter lim="800000"/>
                                <a:headEnd/>
                                <a:tailEnd/>
                              </a:ln>
                            </pic:spPr>
                          </pic:pic>
                        </a:graphicData>
                      </a:graphic>
                    </wp:inline>
                  </w:drawing>
                </w:r>
              </w:p>
            </w:tc>
            <w:tc>
              <w:tcPr>
                <w:tcW w:w="2303" w:type="dxa"/>
                <w:vAlign w:val="center"/>
              </w:tcPr>
              <w:p w:rsidR="00580EA0" w:rsidRPr="000E2347" w:rsidRDefault="00580EA0" w:rsidP="007F13FD">
                <w:pPr>
                  <w:spacing w:after="0"/>
                  <w:jc w:val="center"/>
                  <w:rPr>
                    <w:b/>
                    <w:sz w:val="16"/>
                    <w:szCs w:val="16"/>
                    <w:lang w:val="bg-BG"/>
                  </w:rPr>
                </w:pPr>
                <w:r w:rsidRPr="000E2347">
                  <w:rPr>
                    <w:b/>
                    <w:noProof/>
                    <w:sz w:val="16"/>
                    <w:szCs w:val="16"/>
                  </w:rPr>
                  <w:drawing>
                    <wp:inline distT="0" distB="0" distL="0" distR="0">
                      <wp:extent cx="695325" cy="304800"/>
                      <wp:effectExtent l="19050" t="0" r="9525" b="0"/>
                      <wp:docPr id="2" name="Picture 4" descr="LIF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IF Logo copy"/>
                              <pic:cNvPicPr>
                                <a:picLocks noChangeAspect="1" noChangeArrowheads="1"/>
                              </pic:cNvPicPr>
                            </pic:nvPicPr>
                            <pic:blipFill>
                              <a:blip r:embed="rId2"/>
                              <a:srcRect/>
                              <a:stretch>
                                <a:fillRect/>
                              </a:stretch>
                            </pic:blipFill>
                            <pic:spPr bwMode="auto">
                              <a:xfrm>
                                <a:off x="0" y="0"/>
                                <a:ext cx="695325" cy="304800"/>
                              </a:xfrm>
                              <a:prstGeom prst="rect">
                                <a:avLst/>
                              </a:prstGeom>
                              <a:noFill/>
                              <a:ln w="9525">
                                <a:noFill/>
                                <a:miter lim="800000"/>
                                <a:headEnd/>
                                <a:tailEnd/>
                              </a:ln>
                            </pic:spPr>
                          </pic:pic>
                        </a:graphicData>
                      </a:graphic>
                    </wp:inline>
                  </w:drawing>
                </w:r>
              </w:p>
            </w:tc>
            <w:tc>
              <w:tcPr>
                <w:tcW w:w="2303" w:type="dxa"/>
                <w:vAlign w:val="center"/>
              </w:tcPr>
              <w:p w:rsidR="00580EA0" w:rsidRPr="000E2347" w:rsidRDefault="00580EA0" w:rsidP="007F13FD">
                <w:pPr>
                  <w:spacing w:after="0"/>
                  <w:jc w:val="center"/>
                  <w:rPr>
                    <w:b/>
                    <w:sz w:val="16"/>
                    <w:szCs w:val="16"/>
                    <w:lang w:val="bg-BG"/>
                  </w:rPr>
                </w:pPr>
                <w:r w:rsidRPr="000E2347">
                  <w:rPr>
                    <w:b/>
                    <w:noProof/>
                    <w:sz w:val="16"/>
                    <w:szCs w:val="16"/>
                  </w:rPr>
                  <w:drawing>
                    <wp:inline distT="0" distB="0" distL="0" distR="0">
                      <wp:extent cx="771525" cy="304800"/>
                      <wp:effectExtent l="19050" t="0" r="9525" b="0"/>
                      <wp:docPr id="3" name="Картина 4" descr="C:\Users\boryana.bogdanliiska\Desktop\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C:\Users\boryana.bogdanliiska\Desktop\index.jpg"/>
                              <pic:cNvPicPr>
                                <a:picLocks noChangeAspect="1" noChangeArrowheads="1"/>
                              </pic:cNvPicPr>
                            </pic:nvPicPr>
                            <pic:blipFill>
                              <a:blip r:embed="rId3"/>
                              <a:srcRect/>
                              <a:stretch>
                                <a:fillRect/>
                              </a:stretch>
                            </pic:blipFill>
                            <pic:spPr bwMode="auto">
                              <a:xfrm>
                                <a:off x="0" y="0"/>
                                <a:ext cx="771525" cy="304800"/>
                              </a:xfrm>
                              <a:prstGeom prst="rect">
                                <a:avLst/>
                              </a:prstGeom>
                              <a:noFill/>
                              <a:ln w="9525">
                                <a:noFill/>
                                <a:miter lim="800000"/>
                                <a:headEnd/>
                                <a:tailEnd/>
                              </a:ln>
                            </pic:spPr>
                          </pic:pic>
                        </a:graphicData>
                      </a:graphic>
                    </wp:inline>
                  </w:drawing>
                </w:r>
              </w:p>
            </w:tc>
          </w:tr>
        </w:tbl>
        <w:p w:rsidR="00580EA0" w:rsidRPr="000E2347" w:rsidRDefault="00580EA0" w:rsidP="007F13FD">
          <w:pPr>
            <w:spacing w:after="0"/>
            <w:jc w:val="center"/>
            <w:rPr>
              <w:b/>
              <w:sz w:val="16"/>
              <w:szCs w:val="16"/>
              <w:lang w:val="bg-BG"/>
            </w:rPr>
          </w:pPr>
        </w:p>
      </w:tc>
    </w:tr>
  </w:tbl>
  <w:p w:rsidR="00580EA0" w:rsidRPr="000E2347" w:rsidRDefault="00580EA0" w:rsidP="000E2347">
    <w:pPr>
      <w:pStyle w:val="Footer"/>
      <w:spacing w:line="276" w:lineRule="auto"/>
      <w:rPr>
        <w:b/>
        <w:sz w:val="16"/>
        <w:szCs w:val="16"/>
        <w:lang w:val="bg-BG"/>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F90" w:rsidRDefault="009E0F90" w:rsidP="00DD543F">
      <w:pPr>
        <w:spacing w:after="0" w:line="240" w:lineRule="auto"/>
      </w:pPr>
      <w:r>
        <w:separator/>
      </w:r>
    </w:p>
  </w:footnote>
  <w:footnote w:type="continuationSeparator" w:id="0">
    <w:p w:rsidR="009E0F90" w:rsidRDefault="009E0F90" w:rsidP="00DD54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insideH w:val="single" w:sz="4" w:space="0" w:color="auto"/>
      </w:tblBorders>
      <w:tblLook w:val="04A0"/>
    </w:tblPr>
    <w:tblGrid>
      <w:gridCol w:w="9212"/>
    </w:tblGrid>
    <w:tr w:rsidR="00580EA0" w:rsidRPr="0007305C" w:rsidTr="00EE5750">
      <w:tc>
        <w:tcPr>
          <w:tcW w:w="9212" w:type="dxa"/>
          <w:shd w:val="clear" w:color="auto" w:fill="auto"/>
        </w:tcPr>
        <w:p w:rsidR="00580EA0" w:rsidRPr="00032C6B" w:rsidRDefault="00D22F48" w:rsidP="008C544F">
          <w:pPr>
            <w:pStyle w:val="Title"/>
            <w:spacing w:before="60" w:after="60"/>
            <w:rPr>
              <w:sz w:val="20"/>
            </w:rPr>
          </w:pPr>
          <w:r w:rsidRPr="00D22F48">
            <w:rPr>
              <w:sz w:val="20"/>
            </w:rPr>
            <w:t>Идентифицирани ограничения. Заключения и препоръки</w:t>
          </w:r>
        </w:p>
      </w:tc>
    </w:tr>
    <w:tr w:rsidR="00580EA0" w:rsidRPr="0007305C" w:rsidTr="00EE5750">
      <w:tc>
        <w:tcPr>
          <w:tcW w:w="9212" w:type="dxa"/>
          <w:shd w:val="clear" w:color="auto" w:fill="auto"/>
        </w:tcPr>
        <w:p w:rsidR="00580EA0" w:rsidRPr="00032C6B" w:rsidRDefault="00580EA0" w:rsidP="00032C6B">
          <w:pPr>
            <w:pStyle w:val="Title"/>
            <w:spacing w:before="60" w:after="60"/>
            <w:rPr>
              <w:sz w:val="20"/>
            </w:rPr>
          </w:pPr>
          <w:r w:rsidRPr="00032C6B">
            <w:rPr>
              <w:sz w:val="20"/>
            </w:rPr>
            <w:t>„Консултантски услуги за определяне на унифицирани ставки за разходите за дейности, изпълнявани със собствени ресурси от бенефициентите по проекти, финансирани със средства от ЕС”</w:t>
          </w:r>
        </w:p>
      </w:tc>
    </w:tr>
  </w:tbl>
  <w:p w:rsidR="00580EA0" w:rsidRPr="00EE5750" w:rsidRDefault="00580EA0" w:rsidP="00CF269A">
    <w:pPr>
      <w:spacing w:after="0"/>
      <w:rPr>
        <w:sz w:val="14"/>
        <w:szCs w:val="14"/>
        <w:lang w:val="bg-BG"/>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EA0" w:rsidRPr="00066123" w:rsidRDefault="00580EA0" w:rsidP="00EE5750">
    <w:pPr>
      <w:pStyle w:val="Header"/>
      <w:jc w:val="center"/>
      <w:rPr>
        <w:sz w:val="16"/>
        <w:szCs w:val="16"/>
      </w:rPr>
    </w:pPr>
    <w:r>
      <w:rPr>
        <w:rFonts w:eastAsia="Calibri"/>
        <w:noProof/>
        <w:szCs w:val="18"/>
      </w:rPr>
      <w:drawing>
        <wp:inline distT="0" distB="0" distL="0" distR="0">
          <wp:extent cx="5753100" cy="866775"/>
          <wp:effectExtent l="19050" t="0" r="0" b="0"/>
          <wp:docPr id="5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5753100" cy="866775"/>
                  </a:xfrm>
                  <a:prstGeom prst="rect">
                    <a:avLst/>
                  </a:prstGeom>
                  <a:noFill/>
                  <a:ln w="9525">
                    <a:noFill/>
                    <a:miter lim="800000"/>
                    <a:headEnd/>
                    <a:tailEnd/>
                  </a:ln>
                </pic:spPr>
              </pic:pic>
            </a:graphicData>
          </a:graphic>
        </wp:inline>
      </w:drawing>
    </w:r>
  </w:p>
  <w:p w:rsidR="00580EA0" w:rsidRPr="00DD543F" w:rsidRDefault="00580EA0">
    <w:pPr>
      <w:pStyle w:val="Header"/>
      <w:rPr>
        <w:lang w:val="bg-B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7522E"/>
    <w:multiLevelType w:val="hybridMultilevel"/>
    <w:tmpl w:val="97C87908"/>
    <w:lvl w:ilvl="0" w:tplc="04090001">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D26274A"/>
    <w:multiLevelType w:val="hybridMultilevel"/>
    <w:tmpl w:val="124E9C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CB76E0"/>
    <w:multiLevelType w:val="hybridMultilevel"/>
    <w:tmpl w:val="26224DB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9F7CE9D8" w:tentative="1">
      <w:start w:val="1"/>
      <w:numFmt w:val="bullet"/>
      <w:lvlText w:val="•"/>
      <w:lvlJc w:val="left"/>
      <w:pPr>
        <w:tabs>
          <w:tab w:val="num" w:pos="2160"/>
        </w:tabs>
        <w:ind w:left="2160" w:hanging="360"/>
      </w:pPr>
      <w:rPr>
        <w:rFonts w:ascii="Arial" w:hAnsi="Arial" w:hint="default"/>
      </w:rPr>
    </w:lvl>
    <w:lvl w:ilvl="3" w:tplc="ADFC44B8" w:tentative="1">
      <w:start w:val="1"/>
      <w:numFmt w:val="bullet"/>
      <w:lvlText w:val="•"/>
      <w:lvlJc w:val="left"/>
      <w:pPr>
        <w:tabs>
          <w:tab w:val="num" w:pos="2880"/>
        </w:tabs>
        <w:ind w:left="2880" w:hanging="360"/>
      </w:pPr>
      <w:rPr>
        <w:rFonts w:ascii="Arial" w:hAnsi="Arial" w:hint="default"/>
      </w:rPr>
    </w:lvl>
    <w:lvl w:ilvl="4" w:tplc="D290820E" w:tentative="1">
      <w:start w:val="1"/>
      <w:numFmt w:val="bullet"/>
      <w:lvlText w:val="•"/>
      <w:lvlJc w:val="left"/>
      <w:pPr>
        <w:tabs>
          <w:tab w:val="num" w:pos="3600"/>
        </w:tabs>
        <w:ind w:left="3600" w:hanging="360"/>
      </w:pPr>
      <w:rPr>
        <w:rFonts w:ascii="Arial" w:hAnsi="Arial" w:hint="default"/>
      </w:rPr>
    </w:lvl>
    <w:lvl w:ilvl="5" w:tplc="B65A08B0" w:tentative="1">
      <w:start w:val="1"/>
      <w:numFmt w:val="bullet"/>
      <w:lvlText w:val="•"/>
      <w:lvlJc w:val="left"/>
      <w:pPr>
        <w:tabs>
          <w:tab w:val="num" w:pos="4320"/>
        </w:tabs>
        <w:ind w:left="4320" w:hanging="360"/>
      </w:pPr>
      <w:rPr>
        <w:rFonts w:ascii="Arial" w:hAnsi="Arial" w:hint="default"/>
      </w:rPr>
    </w:lvl>
    <w:lvl w:ilvl="6" w:tplc="B7B2ADF4" w:tentative="1">
      <w:start w:val="1"/>
      <w:numFmt w:val="bullet"/>
      <w:lvlText w:val="•"/>
      <w:lvlJc w:val="left"/>
      <w:pPr>
        <w:tabs>
          <w:tab w:val="num" w:pos="5040"/>
        </w:tabs>
        <w:ind w:left="5040" w:hanging="360"/>
      </w:pPr>
      <w:rPr>
        <w:rFonts w:ascii="Arial" w:hAnsi="Arial" w:hint="default"/>
      </w:rPr>
    </w:lvl>
    <w:lvl w:ilvl="7" w:tplc="F33E309C" w:tentative="1">
      <w:start w:val="1"/>
      <w:numFmt w:val="bullet"/>
      <w:lvlText w:val="•"/>
      <w:lvlJc w:val="left"/>
      <w:pPr>
        <w:tabs>
          <w:tab w:val="num" w:pos="5760"/>
        </w:tabs>
        <w:ind w:left="5760" w:hanging="360"/>
      </w:pPr>
      <w:rPr>
        <w:rFonts w:ascii="Arial" w:hAnsi="Arial" w:hint="default"/>
      </w:rPr>
    </w:lvl>
    <w:lvl w:ilvl="8" w:tplc="3B92AC86" w:tentative="1">
      <w:start w:val="1"/>
      <w:numFmt w:val="bullet"/>
      <w:lvlText w:val="•"/>
      <w:lvlJc w:val="left"/>
      <w:pPr>
        <w:tabs>
          <w:tab w:val="num" w:pos="6480"/>
        </w:tabs>
        <w:ind w:left="6480" w:hanging="360"/>
      </w:pPr>
      <w:rPr>
        <w:rFonts w:ascii="Arial" w:hAnsi="Arial" w:hint="default"/>
      </w:rPr>
    </w:lvl>
  </w:abstractNum>
  <w:abstractNum w:abstractNumId="3">
    <w:nsid w:val="22990C0D"/>
    <w:multiLevelType w:val="hybridMultilevel"/>
    <w:tmpl w:val="F1AE294A"/>
    <w:lvl w:ilvl="0" w:tplc="0409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
    <w:nsid w:val="2378629B"/>
    <w:multiLevelType w:val="hybridMultilevel"/>
    <w:tmpl w:val="290C3D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F7CE9D8" w:tentative="1">
      <w:start w:val="1"/>
      <w:numFmt w:val="bullet"/>
      <w:lvlText w:val="•"/>
      <w:lvlJc w:val="left"/>
      <w:pPr>
        <w:tabs>
          <w:tab w:val="num" w:pos="2160"/>
        </w:tabs>
        <w:ind w:left="2160" w:hanging="360"/>
      </w:pPr>
      <w:rPr>
        <w:rFonts w:ascii="Arial" w:hAnsi="Arial" w:hint="default"/>
      </w:rPr>
    </w:lvl>
    <w:lvl w:ilvl="3" w:tplc="ADFC44B8" w:tentative="1">
      <w:start w:val="1"/>
      <w:numFmt w:val="bullet"/>
      <w:lvlText w:val="•"/>
      <w:lvlJc w:val="left"/>
      <w:pPr>
        <w:tabs>
          <w:tab w:val="num" w:pos="2880"/>
        </w:tabs>
        <w:ind w:left="2880" w:hanging="360"/>
      </w:pPr>
      <w:rPr>
        <w:rFonts w:ascii="Arial" w:hAnsi="Arial" w:hint="default"/>
      </w:rPr>
    </w:lvl>
    <w:lvl w:ilvl="4" w:tplc="D290820E" w:tentative="1">
      <w:start w:val="1"/>
      <w:numFmt w:val="bullet"/>
      <w:lvlText w:val="•"/>
      <w:lvlJc w:val="left"/>
      <w:pPr>
        <w:tabs>
          <w:tab w:val="num" w:pos="3600"/>
        </w:tabs>
        <w:ind w:left="3600" w:hanging="360"/>
      </w:pPr>
      <w:rPr>
        <w:rFonts w:ascii="Arial" w:hAnsi="Arial" w:hint="default"/>
      </w:rPr>
    </w:lvl>
    <w:lvl w:ilvl="5" w:tplc="B65A08B0" w:tentative="1">
      <w:start w:val="1"/>
      <w:numFmt w:val="bullet"/>
      <w:lvlText w:val="•"/>
      <w:lvlJc w:val="left"/>
      <w:pPr>
        <w:tabs>
          <w:tab w:val="num" w:pos="4320"/>
        </w:tabs>
        <w:ind w:left="4320" w:hanging="360"/>
      </w:pPr>
      <w:rPr>
        <w:rFonts w:ascii="Arial" w:hAnsi="Arial" w:hint="default"/>
      </w:rPr>
    </w:lvl>
    <w:lvl w:ilvl="6" w:tplc="B7B2ADF4" w:tentative="1">
      <w:start w:val="1"/>
      <w:numFmt w:val="bullet"/>
      <w:lvlText w:val="•"/>
      <w:lvlJc w:val="left"/>
      <w:pPr>
        <w:tabs>
          <w:tab w:val="num" w:pos="5040"/>
        </w:tabs>
        <w:ind w:left="5040" w:hanging="360"/>
      </w:pPr>
      <w:rPr>
        <w:rFonts w:ascii="Arial" w:hAnsi="Arial" w:hint="default"/>
      </w:rPr>
    </w:lvl>
    <w:lvl w:ilvl="7" w:tplc="F33E309C" w:tentative="1">
      <w:start w:val="1"/>
      <w:numFmt w:val="bullet"/>
      <w:lvlText w:val="•"/>
      <w:lvlJc w:val="left"/>
      <w:pPr>
        <w:tabs>
          <w:tab w:val="num" w:pos="5760"/>
        </w:tabs>
        <w:ind w:left="5760" w:hanging="360"/>
      </w:pPr>
      <w:rPr>
        <w:rFonts w:ascii="Arial" w:hAnsi="Arial" w:hint="default"/>
      </w:rPr>
    </w:lvl>
    <w:lvl w:ilvl="8" w:tplc="3B92AC86" w:tentative="1">
      <w:start w:val="1"/>
      <w:numFmt w:val="bullet"/>
      <w:lvlText w:val="•"/>
      <w:lvlJc w:val="left"/>
      <w:pPr>
        <w:tabs>
          <w:tab w:val="num" w:pos="6480"/>
        </w:tabs>
        <w:ind w:left="6480" w:hanging="360"/>
      </w:pPr>
      <w:rPr>
        <w:rFonts w:ascii="Arial" w:hAnsi="Arial" w:hint="default"/>
      </w:rPr>
    </w:lvl>
  </w:abstractNum>
  <w:abstractNum w:abstractNumId="5">
    <w:nsid w:val="25A556D0"/>
    <w:multiLevelType w:val="hybridMultilevel"/>
    <w:tmpl w:val="2DF69A6A"/>
    <w:lvl w:ilvl="0" w:tplc="B25058EE">
      <w:start w:val="1"/>
      <w:numFmt w:val="bullet"/>
      <w:lvlText w:val="-"/>
      <w:lvlJc w:val="left"/>
      <w:pPr>
        <w:ind w:left="1770" w:hanging="360"/>
      </w:pPr>
      <w:rPr>
        <w:rFonts w:ascii="Times New Roman" w:eastAsiaTheme="minorHAnsi" w:hAnsi="Times New Roman" w:cs="Times New Roman"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6">
    <w:nsid w:val="2DDD20AA"/>
    <w:multiLevelType w:val="hybridMultilevel"/>
    <w:tmpl w:val="BC7C8D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3134492E"/>
    <w:multiLevelType w:val="hybridMultilevel"/>
    <w:tmpl w:val="6E24F1B0"/>
    <w:lvl w:ilvl="0" w:tplc="0409000F">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2F76449"/>
    <w:multiLevelType w:val="hybridMultilevel"/>
    <w:tmpl w:val="33EC715A"/>
    <w:lvl w:ilvl="0" w:tplc="B25058EE">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417D079F"/>
    <w:multiLevelType w:val="hybridMultilevel"/>
    <w:tmpl w:val="38C6529E"/>
    <w:lvl w:ilvl="0" w:tplc="04090001">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66B3FFB"/>
    <w:multiLevelType w:val="multilevel"/>
    <w:tmpl w:val="17CC611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1">
    <w:nsid w:val="568B6550"/>
    <w:multiLevelType w:val="hybridMultilevel"/>
    <w:tmpl w:val="F302336E"/>
    <w:lvl w:ilvl="0" w:tplc="0409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58D106B8"/>
    <w:multiLevelType w:val="hybridMultilevel"/>
    <w:tmpl w:val="DBC6DCDE"/>
    <w:lvl w:ilvl="0" w:tplc="B25058E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BBD2D66"/>
    <w:multiLevelType w:val="hybridMultilevel"/>
    <w:tmpl w:val="CAAA67F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6762640E"/>
    <w:multiLevelType w:val="hybridMultilevel"/>
    <w:tmpl w:val="8E0C068E"/>
    <w:lvl w:ilvl="0" w:tplc="04090001">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FC474F2"/>
    <w:multiLevelType w:val="hybridMultilevel"/>
    <w:tmpl w:val="17881690"/>
    <w:lvl w:ilvl="0" w:tplc="04090001">
      <w:start w:val="1"/>
      <w:numFmt w:val="bullet"/>
      <w:lvlText w:val=""/>
      <w:lvlJc w:val="left"/>
      <w:pPr>
        <w:tabs>
          <w:tab w:val="num" w:pos="720"/>
        </w:tabs>
        <w:ind w:left="720" w:hanging="360"/>
      </w:pPr>
      <w:rPr>
        <w:rFonts w:ascii="Symbol" w:hAnsi="Symbol" w:hint="default"/>
      </w:rPr>
    </w:lvl>
    <w:lvl w:ilvl="1" w:tplc="C9204454">
      <w:start w:val="1"/>
      <w:numFmt w:val="bullet"/>
      <w:lvlText w:val="•"/>
      <w:lvlJc w:val="left"/>
      <w:pPr>
        <w:tabs>
          <w:tab w:val="num" w:pos="1440"/>
        </w:tabs>
        <w:ind w:left="1440" w:hanging="360"/>
      </w:pPr>
      <w:rPr>
        <w:rFonts w:ascii="Arial" w:hAnsi="Arial" w:hint="default"/>
      </w:rPr>
    </w:lvl>
    <w:lvl w:ilvl="2" w:tplc="9F7CE9D8" w:tentative="1">
      <w:start w:val="1"/>
      <w:numFmt w:val="bullet"/>
      <w:lvlText w:val="•"/>
      <w:lvlJc w:val="left"/>
      <w:pPr>
        <w:tabs>
          <w:tab w:val="num" w:pos="2160"/>
        </w:tabs>
        <w:ind w:left="2160" w:hanging="360"/>
      </w:pPr>
      <w:rPr>
        <w:rFonts w:ascii="Arial" w:hAnsi="Arial" w:hint="default"/>
      </w:rPr>
    </w:lvl>
    <w:lvl w:ilvl="3" w:tplc="ADFC44B8" w:tentative="1">
      <w:start w:val="1"/>
      <w:numFmt w:val="bullet"/>
      <w:lvlText w:val="•"/>
      <w:lvlJc w:val="left"/>
      <w:pPr>
        <w:tabs>
          <w:tab w:val="num" w:pos="2880"/>
        </w:tabs>
        <w:ind w:left="2880" w:hanging="360"/>
      </w:pPr>
      <w:rPr>
        <w:rFonts w:ascii="Arial" w:hAnsi="Arial" w:hint="default"/>
      </w:rPr>
    </w:lvl>
    <w:lvl w:ilvl="4" w:tplc="D290820E" w:tentative="1">
      <w:start w:val="1"/>
      <w:numFmt w:val="bullet"/>
      <w:lvlText w:val="•"/>
      <w:lvlJc w:val="left"/>
      <w:pPr>
        <w:tabs>
          <w:tab w:val="num" w:pos="3600"/>
        </w:tabs>
        <w:ind w:left="3600" w:hanging="360"/>
      </w:pPr>
      <w:rPr>
        <w:rFonts w:ascii="Arial" w:hAnsi="Arial" w:hint="default"/>
      </w:rPr>
    </w:lvl>
    <w:lvl w:ilvl="5" w:tplc="B65A08B0" w:tentative="1">
      <w:start w:val="1"/>
      <w:numFmt w:val="bullet"/>
      <w:lvlText w:val="•"/>
      <w:lvlJc w:val="left"/>
      <w:pPr>
        <w:tabs>
          <w:tab w:val="num" w:pos="4320"/>
        </w:tabs>
        <w:ind w:left="4320" w:hanging="360"/>
      </w:pPr>
      <w:rPr>
        <w:rFonts w:ascii="Arial" w:hAnsi="Arial" w:hint="default"/>
      </w:rPr>
    </w:lvl>
    <w:lvl w:ilvl="6" w:tplc="B7B2ADF4" w:tentative="1">
      <w:start w:val="1"/>
      <w:numFmt w:val="bullet"/>
      <w:lvlText w:val="•"/>
      <w:lvlJc w:val="left"/>
      <w:pPr>
        <w:tabs>
          <w:tab w:val="num" w:pos="5040"/>
        </w:tabs>
        <w:ind w:left="5040" w:hanging="360"/>
      </w:pPr>
      <w:rPr>
        <w:rFonts w:ascii="Arial" w:hAnsi="Arial" w:hint="default"/>
      </w:rPr>
    </w:lvl>
    <w:lvl w:ilvl="7" w:tplc="F33E309C" w:tentative="1">
      <w:start w:val="1"/>
      <w:numFmt w:val="bullet"/>
      <w:lvlText w:val="•"/>
      <w:lvlJc w:val="left"/>
      <w:pPr>
        <w:tabs>
          <w:tab w:val="num" w:pos="5760"/>
        </w:tabs>
        <w:ind w:left="5760" w:hanging="360"/>
      </w:pPr>
      <w:rPr>
        <w:rFonts w:ascii="Arial" w:hAnsi="Arial" w:hint="default"/>
      </w:rPr>
    </w:lvl>
    <w:lvl w:ilvl="8" w:tplc="3B92AC86" w:tentative="1">
      <w:start w:val="1"/>
      <w:numFmt w:val="bullet"/>
      <w:lvlText w:val="•"/>
      <w:lvlJc w:val="left"/>
      <w:pPr>
        <w:tabs>
          <w:tab w:val="num" w:pos="6480"/>
        </w:tabs>
        <w:ind w:left="6480" w:hanging="360"/>
      </w:pPr>
      <w:rPr>
        <w:rFonts w:ascii="Arial" w:hAnsi="Arial" w:hint="default"/>
      </w:rPr>
    </w:lvl>
  </w:abstractNum>
  <w:abstractNum w:abstractNumId="16">
    <w:nsid w:val="7B23347C"/>
    <w:multiLevelType w:val="hybridMultilevel"/>
    <w:tmpl w:val="88F22C92"/>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7BF547D9"/>
    <w:multiLevelType w:val="hybridMultilevel"/>
    <w:tmpl w:val="057A58B8"/>
    <w:lvl w:ilvl="0" w:tplc="B25058E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3"/>
  </w:num>
  <w:num w:numId="3">
    <w:abstractNumId w:val="0"/>
  </w:num>
  <w:num w:numId="4">
    <w:abstractNumId w:val="12"/>
  </w:num>
  <w:num w:numId="5">
    <w:abstractNumId w:val="14"/>
  </w:num>
  <w:num w:numId="6">
    <w:abstractNumId w:val="8"/>
  </w:num>
  <w:num w:numId="7">
    <w:abstractNumId w:val="9"/>
  </w:num>
  <w:num w:numId="8">
    <w:abstractNumId w:val="17"/>
  </w:num>
  <w:num w:numId="9">
    <w:abstractNumId w:val="1"/>
  </w:num>
  <w:num w:numId="10">
    <w:abstractNumId w:val="7"/>
  </w:num>
  <w:num w:numId="11">
    <w:abstractNumId w:val="10"/>
  </w:num>
  <w:num w:numId="12">
    <w:abstractNumId w:val="5"/>
  </w:num>
  <w:num w:numId="13">
    <w:abstractNumId w:val="16"/>
  </w:num>
  <w:num w:numId="14">
    <w:abstractNumId w:val="6"/>
  </w:num>
  <w:num w:numId="15">
    <w:abstractNumId w:val="15"/>
  </w:num>
  <w:num w:numId="16">
    <w:abstractNumId w:val="2"/>
  </w:num>
  <w:num w:numId="17">
    <w:abstractNumId w:val="4"/>
  </w:num>
  <w:num w:numId="18">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30"/>
  <w:displayHorizontalDrawingGridEvery w:val="2"/>
  <w:characterSpacingControl w:val="doNotCompress"/>
  <w:savePreviewPicture/>
  <w:hdrShapeDefaults>
    <o:shapedefaults v:ext="edit" spidmax="9218"/>
  </w:hdrShapeDefaults>
  <w:footnotePr>
    <w:footnote w:id="-1"/>
    <w:footnote w:id="0"/>
  </w:footnotePr>
  <w:endnotePr>
    <w:endnote w:id="-1"/>
    <w:endnote w:id="0"/>
  </w:endnotePr>
  <w:compat/>
  <w:rsids>
    <w:rsidRoot w:val="002745FD"/>
    <w:rsid w:val="0000004A"/>
    <w:rsid w:val="00001B7D"/>
    <w:rsid w:val="00002F86"/>
    <w:rsid w:val="00005A2F"/>
    <w:rsid w:val="0001062F"/>
    <w:rsid w:val="000106F1"/>
    <w:rsid w:val="00010730"/>
    <w:rsid w:val="000109E2"/>
    <w:rsid w:val="00011407"/>
    <w:rsid w:val="00012579"/>
    <w:rsid w:val="0001389F"/>
    <w:rsid w:val="0001398F"/>
    <w:rsid w:val="00014D9A"/>
    <w:rsid w:val="00015829"/>
    <w:rsid w:val="0001656C"/>
    <w:rsid w:val="000166FA"/>
    <w:rsid w:val="00016ADF"/>
    <w:rsid w:val="0001794B"/>
    <w:rsid w:val="0001798E"/>
    <w:rsid w:val="000211CF"/>
    <w:rsid w:val="0002291C"/>
    <w:rsid w:val="00023934"/>
    <w:rsid w:val="000239C8"/>
    <w:rsid w:val="00024447"/>
    <w:rsid w:val="000249CC"/>
    <w:rsid w:val="0002639C"/>
    <w:rsid w:val="000314B7"/>
    <w:rsid w:val="00031B92"/>
    <w:rsid w:val="00032162"/>
    <w:rsid w:val="00032C6B"/>
    <w:rsid w:val="00033DC9"/>
    <w:rsid w:val="00041973"/>
    <w:rsid w:val="00043681"/>
    <w:rsid w:val="000443F3"/>
    <w:rsid w:val="00044453"/>
    <w:rsid w:val="0004446F"/>
    <w:rsid w:val="00044B3B"/>
    <w:rsid w:val="0004502B"/>
    <w:rsid w:val="00045BD9"/>
    <w:rsid w:val="00045EE6"/>
    <w:rsid w:val="0004729C"/>
    <w:rsid w:val="00047941"/>
    <w:rsid w:val="000479CD"/>
    <w:rsid w:val="00047B50"/>
    <w:rsid w:val="0005092F"/>
    <w:rsid w:val="00051A7C"/>
    <w:rsid w:val="00052644"/>
    <w:rsid w:val="00052FCB"/>
    <w:rsid w:val="00053763"/>
    <w:rsid w:val="000540E3"/>
    <w:rsid w:val="000544FC"/>
    <w:rsid w:val="000552AC"/>
    <w:rsid w:val="0005578F"/>
    <w:rsid w:val="00055EC3"/>
    <w:rsid w:val="000578EC"/>
    <w:rsid w:val="00057DFB"/>
    <w:rsid w:val="0006099E"/>
    <w:rsid w:val="00060B3C"/>
    <w:rsid w:val="00061949"/>
    <w:rsid w:val="000627A4"/>
    <w:rsid w:val="00063B9D"/>
    <w:rsid w:val="0006479B"/>
    <w:rsid w:val="00064FE9"/>
    <w:rsid w:val="00065346"/>
    <w:rsid w:val="00067F0F"/>
    <w:rsid w:val="00070716"/>
    <w:rsid w:val="000716E2"/>
    <w:rsid w:val="000720B5"/>
    <w:rsid w:val="000733EF"/>
    <w:rsid w:val="00075661"/>
    <w:rsid w:val="00075E96"/>
    <w:rsid w:val="00075ED7"/>
    <w:rsid w:val="000763C7"/>
    <w:rsid w:val="00076D34"/>
    <w:rsid w:val="00080026"/>
    <w:rsid w:val="00080CA0"/>
    <w:rsid w:val="000814F4"/>
    <w:rsid w:val="00083209"/>
    <w:rsid w:val="00083A80"/>
    <w:rsid w:val="00084EED"/>
    <w:rsid w:val="00086066"/>
    <w:rsid w:val="000863C0"/>
    <w:rsid w:val="00086887"/>
    <w:rsid w:val="00086B1C"/>
    <w:rsid w:val="00086EAB"/>
    <w:rsid w:val="00090078"/>
    <w:rsid w:val="00090177"/>
    <w:rsid w:val="00090791"/>
    <w:rsid w:val="00090E8C"/>
    <w:rsid w:val="00091F3B"/>
    <w:rsid w:val="00092677"/>
    <w:rsid w:val="0009275C"/>
    <w:rsid w:val="00092887"/>
    <w:rsid w:val="00093CD2"/>
    <w:rsid w:val="00095464"/>
    <w:rsid w:val="00095DEE"/>
    <w:rsid w:val="00096FB6"/>
    <w:rsid w:val="000A0358"/>
    <w:rsid w:val="000A0376"/>
    <w:rsid w:val="000A1746"/>
    <w:rsid w:val="000A1D2C"/>
    <w:rsid w:val="000A22FF"/>
    <w:rsid w:val="000A5015"/>
    <w:rsid w:val="000A55A8"/>
    <w:rsid w:val="000A5A0E"/>
    <w:rsid w:val="000A5C58"/>
    <w:rsid w:val="000A73C7"/>
    <w:rsid w:val="000A7C34"/>
    <w:rsid w:val="000B2B43"/>
    <w:rsid w:val="000B374F"/>
    <w:rsid w:val="000B3F0D"/>
    <w:rsid w:val="000B410B"/>
    <w:rsid w:val="000B557E"/>
    <w:rsid w:val="000B795C"/>
    <w:rsid w:val="000C0B33"/>
    <w:rsid w:val="000C350A"/>
    <w:rsid w:val="000C48F2"/>
    <w:rsid w:val="000C6520"/>
    <w:rsid w:val="000D09E0"/>
    <w:rsid w:val="000D0B9B"/>
    <w:rsid w:val="000D23A0"/>
    <w:rsid w:val="000D728A"/>
    <w:rsid w:val="000D751B"/>
    <w:rsid w:val="000E033B"/>
    <w:rsid w:val="000E1C58"/>
    <w:rsid w:val="000E2347"/>
    <w:rsid w:val="000E265E"/>
    <w:rsid w:val="000E3533"/>
    <w:rsid w:val="000E485C"/>
    <w:rsid w:val="000E59C8"/>
    <w:rsid w:val="000E64EA"/>
    <w:rsid w:val="000E672F"/>
    <w:rsid w:val="000E6DF0"/>
    <w:rsid w:val="000F1FB5"/>
    <w:rsid w:val="000F260A"/>
    <w:rsid w:val="000F4D63"/>
    <w:rsid w:val="000F55A6"/>
    <w:rsid w:val="000F61BC"/>
    <w:rsid w:val="000F6E61"/>
    <w:rsid w:val="000F7C41"/>
    <w:rsid w:val="00100592"/>
    <w:rsid w:val="001007F1"/>
    <w:rsid w:val="00100BAE"/>
    <w:rsid w:val="00100C86"/>
    <w:rsid w:val="001016DD"/>
    <w:rsid w:val="001017B1"/>
    <w:rsid w:val="00103043"/>
    <w:rsid w:val="00103FED"/>
    <w:rsid w:val="0010435D"/>
    <w:rsid w:val="00106D9A"/>
    <w:rsid w:val="00107125"/>
    <w:rsid w:val="00110298"/>
    <w:rsid w:val="00110972"/>
    <w:rsid w:val="00110E72"/>
    <w:rsid w:val="00111617"/>
    <w:rsid w:val="00112E08"/>
    <w:rsid w:val="00113F5F"/>
    <w:rsid w:val="00114461"/>
    <w:rsid w:val="001158D6"/>
    <w:rsid w:val="00115905"/>
    <w:rsid w:val="00115CAE"/>
    <w:rsid w:val="00116D4F"/>
    <w:rsid w:val="00116EEA"/>
    <w:rsid w:val="0011718B"/>
    <w:rsid w:val="00117C1E"/>
    <w:rsid w:val="00121657"/>
    <w:rsid w:val="00123770"/>
    <w:rsid w:val="00123A41"/>
    <w:rsid w:val="001244D1"/>
    <w:rsid w:val="00124BA2"/>
    <w:rsid w:val="00124C59"/>
    <w:rsid w:val="00124DC5"/>
    <w:rsid w:val="001256C2"/>
    <w:rsid w:val="001266A2"/>
    <w:rsid w:val="00127340"/>
    <w:rsid w:val="00127FF2"/>
    <w:rsid w:val="00132A66"/>
    <w:rsid w:val="001338D2"/>
    <w:rsid w:val="00134F04"/>
    <w:rsid w:val="00135B36"/>
    <w:rsid w:val="00136404"/>
    <w:rsid w:val="001403C0"/>
    <w:rsid w:val="00141D69"/>
    <w:rsid w:val="00141F9B"/>
    <w:rsid w:val="00142148"/>
    <w:rsid w:val="00142CF4"/>
    <w:rsid w:val="00142F83"/>
    <w:rsid w:val="0014306F"/>
    <w:rsid w:val="0014320F"/>
    <w:rsid w:val="0014330B"/>
    <w:rsid w:val="00143E5D"/>
    <w:rsid w:val="0014743B"/>
    <w:rsid w:val="0014782A"/>
    <w:rsid w:val="001501D3"/>
    <w:rsid w:val="001510EB"/>
    <w:rsid w:val="00153F4E"/>
    <w:rsid w:val="001543B3"/>
    <w:rsid w:val="00154BE3"/>
    <w:rsid w:val="00154F35"/>
    <w:rsid w:val="00154F71"/>
    <w:rsid w:val="00155226"/>
    <w:rsid w:val="001554D5"/>
    <w:rsid w:val="00155A33"/>
    <w:rsid w:val="00155C98"/>
    <w:rsid w:val="00156F5A"/>
    <w:rsid w:val="00157EE1"/>
    <w:rsid w:val="00160422"/>
    <w:rsid w:val="001607CC"/>
    <w:rsid w:val="00161A3F"/>
    <w:rsid w:val="00162FA9"/>
    <w:rsid w:val="00164B7D"/>
    <w:rsid w:val="001655A2"/>
    <w:rsid w:val="00165F33"/>
    <w:rsid w:val="0016608F"/>
    <w:rsid w:val="00166DE2"/>
    <w:rsid w:val="00167C10"/>
    <w:rsid w:val="00170F2E"/>
    <w:rsid w:val="00171A40"/>
    <w:rsid w:val="0017425F"/>
    <w:rsid w:val="0017429B"/>
    <w:rsid w:val="00174C47"/>
    <w:rsid w:val="001778CB"/>
    <w:rsid w:val="001779C2"/>
    <w:rsid w:val="00180CC9"/>
    <w:rsid w:val="0018146F"/>
    <w:rsid w:val="001834AB"/>
    <w:rsid w:val="00184465"/>
    <w:rsid w:val="0018554B"/>
    <w:rsid w:val="001861AD"/>
    <w:rsid w:val="00186253"/>
    <w:rsid w:val="001870AC"/>
    <w:rsid w:val="00190F23"/>
    <w:rsid w:val="001913BB"/>
    <w:rsid w:val="00192DBF"/>
    <w:rsid w:val="00193C23"/>
    <w:rsid w:val="00194D4E"/>
    <w:rsid w:val="00194D96"/>
    <w:rsid w:val="0019582C"/>
    <w:rsid w:val="00196289"/>
    <w:rsid w:val="001974FF"/>
    <w:rsid w:val="001A1CE0"/>
    <w:rsid w:val="001A279A"/>
    <w:rsid w:val="001A3163"/>
    <w:rsid w:val="001A6B86"/>
    <w:rsid w:val="001B1439"/>
    <w:rsid w:val="001B1595"/>
    <w:rsid w:val="001B165F"/>
    <w:rsid w:val="001B2AD7"/>
    <w:rsid w:val="001B2CD4"/>
    <w:rsid w:val="001B2F68"/>
    <w:rsid w:val="001B3B19"/>
    <w:rsid w:val="001B713E"/>
    <w:rsid w:val="001C025E"/>
    <w:rsid w:val="001C2922"/>
    <w:rsid w:val="001C3904"/>
    <w:rsid w:val="001C51C8"/>
    <w:rsid w:val="001C6603"/>
    <w:rsid w:val="001C78B2"/>
    <w:rsid w:val="001C7AC8"/>
    <w:rsid w:val="001C7D70"/>
    <w:rsid w:val="001D1D23"/>
    <w:rsid w:val="001D1DE6"/>
    <w:rsid w:val="001D24A1"/>
    <w:rsid w:val="001D255A"/>
    <w:rsid w:val="001D26C8"/>
    <w:rsid w:val="001D3279"/>
    <w:rsid w:val="001D3D47"/>
    <w:rsid w:val="001D46F5"/>
    <w:rsid w:val="001D522B"/>
    <w:rsid w:val="001D5236"/>
    <w:rsid w:val="001D52D4"/>
    <w:rsid w:val="001D6F0D"/>
    <w:rsid w:val="001D7409"/>
    <w:rsid w:val="001D7C14"/>
    <w:rsid w:val="001D7CC1"/>
    <w:rsid w:val="001E0731"/>
    <w:rsid w:val="001E1220"/>
    <w:rsid w:val="001E1DA6"/>
    <w:rsid w:val="001E78CA"/>
    <w:rsid w:val="001F2D60"/>
    <w:rsid w:val="001F4C2A"/>
    <w:rsid w:val="001F5A30"/>
    <w:rsid w:val="002000B7"/>
    <w:rsid w:val="0020025F"/>
    <w:rsid w:val="002006BF"/>
    <w:rsid w:val="00201368"/>
    <w:rsid w:val="002015C8"/>
    <w:rsid w:val="00203126"/>
    <w:rsid w:val="00204450"/>
    <w:rsid w:val="0020497B"/>
    <w:rsid w:val="002067EC"/>
    <w:rsid w:val="00207606"/>
    <w:rsid w:val="00207671"/>
    <w:rsid w:val="00210A5F"/>
    <w:rsid w:val="002110A4"/>
    <w:rsid w:val="00215DF5"/>
    <w:rsid w:val="0022020C"/>
    <w:rsid w:val="0022046E"/>
    <w:rsid w:val="00223046"/>
    <w:rsid w:val="00223214"/>
    <w:rsid w:val="00223FB6"/>
    <w:rsid w:val="002245DB"/>
    <w:rsid w:val="00225854"/>
    <w:rsid w:val="00225BF7"/>
    <w:rsid w:val="00226747"/>
    <w:rsid w:val="002269CC"/>
    <w:rsid w:val="00227018"/>
    <w:rsid w:val="00227E4C"/>
    <w:rsid w:val="0023320A"/>
    <w:rsid w:val="00233E95"/>
    <w:rsid w:val="00235A59"/>
    <w:rsid w:val="00237AC4"/>
    <w:rsid w:val="00240192"/>
    <w:rsid w:val="00241B7B"/>
    <w:rsid w:val="0024290B"/>
    <w:rsid w:val="002432FE"/>
    <w:rsid w:val="0024408B"/>
    <w:rsid w:val="002449A1"/>
    <w:rsid w:val="0024718E"/>
    <w:rsid w:val="002471F7"/>
    <w:rsid w:val="002502A3"/>
    <w:rsid w:val="00250E09"/>
    <w:rsid w:val="002514C8"/>
    <w:rsid w:val="00251774"/>
    <w:rsid w:val="002520F5"/>
    <w:rsid w:val="00252A60"/>
    <w:rsid w:val="0025366C"/>
    <w:rsid w:val="002541E0"/>
    <w:rsid w:val="00254CEF"/>
    <w:rsid w:val="00254D9A"/>
    <w:rsid w:val="002561FC"/>
    <w:rsid w:val="00256567"/>
    <w:rsid w:val="002565E7"/>
    <w:rsid w:val="00257F22"/>
    <w:rsid w:val="002617F7"/>
    <w:rsid w:val="00262F44"/>
    <w:rsid w:val="00263C04"/>
    <w:rsid w:val="00263D21"/>
    <w:rsid w:val="00264B19"/>
    <w:rsid w:val="00265E8A"/>
    <w:rsid w:val="002676E3"/>
    <w:rsid w:val="00271A46"/>
    <w:rsid w:val="002726E2"/>
    <w:rsid w:val="002745FD"/>
    <w:rsid w:val="0027560A"/>
    <w:rsid w:val="00275869"/>
    <w:rsid w:val="00275AB7"/>
    <w:rsid w:val="00276292"/>
    <w:rsid w:val="0028117D"/>
    <w:rsid w:val="00282062"/>
    <w:rsid w:val="00282174"/>
    <w:rsid w:val="00282FA5"/>
    <w:rsid w:val="00284C72"/>
    <w:rsid w:val="00286B85"/>
    <w:rsid w:val="00291824"/>
    <w:rsid w:val="00294BB1"/>
    <w:rsid w:val="0029680F"/>
    <w:rsid w:val="002979DE"/>
    <w:rsid w:val="00297EA7"/>
    <w:rsid w:val="002A1C7E"/>
    <w:rsid w:val="002A1EB6"/>
    <w:rsid w:val="002A21B6"/>
    <w:rsid w:val="002A36F4"/>
    <w:rsid w:val="002A392D"/>
    <w:rsid w:val="002A47B3"/>
    <w:rsid w:val="002A68C7"/>
    <w:rsid w:val="002A68D6"/>
    <w:rsid w:val="002A6A2F"/>
    <w:rsid w:val="002A6B7F"/>
    <w:rsid w:val="002A6D32"/>
    <w:rsid w:val="002B164A"/>
    <w:rsid w:val="002B1A89"/>
    <w:rsid w:val="002B20BC"/>
    <w:rsid w:val="002B27CA"/>
    <w:rsid w:val="002B2902"/>
    <w:rsid w:val="002B2B35"/>
    <w:rsid w:val="002B3CA9"/>
    <w:rsid w:val="002B41E7"/>
    <w:rsid w:val="002B5B86"/>
    <w:rsid w:val="002B60B6"/>
    <w:rsid w:val="002B684B"/>
    <w:rsid w:val="002B7681"/>
    <w:rsid w:val="002B7A10"/>
    <w:rsid w:val="002C0750"/>
    <w:rsid w:val="002C0E05"/>
    <w:rsid w:val="002C154E"/>
    <w:rsid w:val="002C1B9E"/>
    <w:rsid w:val="002C2155"/>
    <w:rsid w:val="002C3032"/>
    <w:rsid w:val="002C5565"/>
    <w:rsid w:val="002C74E8"/>
    <w:rsid w:val="002C76D1"/>
    <w:rsid w:val="002C7B25"/>
    <w:rsid w:val="002D0402"/>
    <w:rsid w:val="002D0F0F"/>
    <w:rsid w:val="002D1407"/>
    <w:rsid w:val="002D24E2"/>
    <w:rsid w:val="002D4404"/>
    <w:rsid w:val="002D44FB"/>
    <w:rsid w:val="002E0386"/>
    <w:rsid w:val="002E0ABF"/>
    <w:rsid w:val="002E1432"/>
    <w:rsid w:val="002E285C"/>
    <w:rsid w:val="002E2BED"/>
    <w:rsid w:val="002E3B06"/>
    <w:rsid w:val="002E3EF3"/>
    <w:rsid w:val="002E467A"/>
    <w:rsid w:val="002E526F"/>
    <w:rsid w:val="002E624E"/>
    <w:rsid w:val="002F00DB"/>
    <w:rsid w:val="002F1236"/>
    <w:rsid w:val="002F1368"/>
    <w:rsid w:val="002F22E0"/>
    <w:rsid w:val="002F33F0"/>
    <w:rsid w:val="002F3938"/>
    <w:rsid w:val="002F4DFE"/>
    <w:rsid w:val="002F58F3"/>
    <w:rsid w:val="002F62BB"/>
    <w:rsid w:val="002F66CF"/>
    <w:rsid w:val="002F7BEC"/>
    <w:rsid w:val="00302357"/>
    <w:rsid w:val="003027DE"/>
    <w:rsid w:val="00302B60"/>
    <w:rsid w:val="00302BE9"/>
    <w:rsid w:val="00302C2D"/>
    <w:rsid w:val="0030437D"/>
    <w:rsid w:val="003043D9"/>
    <w:rsid w:val="00306D41"/>
    <w:rsid w:val="00306E6D"/>
    <w:rsid w:val="0031056A"/>
    <w:rsid w:val="00314E79"/>
    <w:rsid w:val="003162EF"/>
    <w:rsid w:val="00317653"/>
    <w:rsid w:val="00317E3E"/>
    <w:rsid w:val="0032062F"/>
    <w:rsid w:val="00320724"/>
    <w:rsid w:val="003207F4"/>
    <w:rsid w:val="00320B0D"/>
    <w:rsid w:val="00320C03"/>
    <w:rsid w:val="00322A98"/>
    <w:rsid w:val="00322DFD"/>
    <w:rsid w:val="003319FD"/>
    <w:rsid w:val="00331A39"/>
    <w:rsid w:val="00333AB1"/>
    <w:rsid w:val="00333BD9"/>
    <w:rsid w:val="00335D4E"/>
    <w:rsid w:val="00336058"/>
    <w:rsid w:val="003364DA"/>
    <w:rsid w:val="003400EE"/>
    <w:rsid w:val="00340CF4"/>
    <w:rsid w:val="00341F24"/>
    <w:rsid w:val="00341FA4"/>
    <w:rsid w:val="003426B6"/>
    <w:rsid w:val="00342A11"/>
    <w:rsid w:val="00342A91"/>
    <w:rsid w:val="003445C2"/>
    <w:rsid w:val="00344E16"/>
    <w:rsid w:val="003463EF"/>
    <w:rsid w:val="00350509"/>
    <w:rsid w:val="00350736"/>
    <w:rsid w:val="00352584"/>
    <w:rsid w:val="00352FF0"/>
    <w:rsid w:val="003530C7"/>
    <w:rsid w:val="00354EC0"/>
    <w:rsid w:val="003557A3"/>
    <w:rsid w:val="00355E8C"/>
    <w:rsid w:val="0035658E"/>
    <w:rsid w:val="0036002E"/>
    <w:rsid w:val="003604FF"/>
    <w:rsid w:val="00361BDB"/>
    <w:rsid w:val="00362E41"/>
    <w:rsid w:val="00364C59"/>
    <w:rsid w:val="00364D2B"/>
    <w:rsid w:val="003655CE"/>
    <w:rsid w:val="003665A0"/>
    <w:rsid w:val="003665C9"/>
    <w:rsid w:val="0037069A"/>
    <w:rsid w:val="003706A5"/>
    <w:rsid w:val="00371390"/>
    <w:rsid w:val="0037166D"/>
    <w:rsid w:val="00372043"/>
    <w:rsid w:val="00373005"/>
    <w:rsid w:val="00373658"/>
    <w:rsid w:val="00373BF5"/>
    <w:rsid w:val="00373BF9"/>
    <w:rsid w:val="00374C79"/>
    <w:rsid w:val="00374F70"/>
    <w:rsid w:val="00376C87"/>
    <w:rsid w:val="00377121"/>
    <w:rsid w:val="00377347"/>
    <w:rsid w:val="003778C1"/>
    <w:rsid w:val="00382969"/>
    <w:rsid w:val="003836F5"/>
    <w:rsid w:val="00385AA7"/>
    <w:rsid w:val="00387232"/>
    <w:rsid w:val="00387BB6"/>
    <w:rsid w:val="00387FD9"/>
    <w:rsid w:val="00390FB3"/>
    <w:rsid w:val="00392001"/>
    <w:rsid w:val="00392FEC"/>
    <w:rsid w:val="003947DC"/>
    <w:rsid w:val="00394864"/>
    <w:rsid w:val="00394918"/>
    <w:rsid w:val="00396886"/>
    <w:rsid w:val="00397ECC"/>
    <w:rsid w:val="003A0309"/>
    <w:rsid w:val="003A0C14"/>
    <w:rsid w:val="003A133A"/>
    <w:rsid w:val="003A17FF"/>
    <w:rsid w:val="003A22C5"/>
    <w:rsid w:val="003A301C"/>
    <w:rsid w:val="003A3C28"/>
    <w:rsid w:val="003A4125"/>
    <w:rsid w:val="003A57B1"/>
    <w:rsid w:val="003A5891"/>
    <w:rsid w:val="003A5F74"/>
    <w:rsid w:val="003A6448"/>
    <w:rsid w:val="003A682B"/>
    <w:rsid w:val="003A6C01"/>
    <w:rsid w:val="003B0BC8"/>
    <w:rsid w:val="003B14AB"/>
    <w:rsid w:val="003B1AFB"/>
    <w:rsid w:val="003B1E07"/>
    <w:rsid w:val="003B24EB"/>
    <w:rsid w:val="003B2954"/>
    <w:rsid w:val="003B2BA3"/>
    <w:rsid w:val="003B2CD0"/>
    <w:rsid w:val="003B3799"/>
    <w:rsid w:val="003B3F93"/>
    <w:rsid w:val="003B5BD8"/>
    <w:rsid w:val="003B5C3D"/>
    <w:rsid w:val="003B5D12"/>
    <w:rsid w:val="003B7720"/>
    <w:rsid w:val="003B7DF3"/>
    <w:rsid w:val="003C01E6"/>
    <w:rsid w:val="003C0989"/>
    <w:rsid w:val="003C21F1"/>
    <w:rsid w:val="003C239D"/>
    <w:rsid w:val="003C28B9"/>
    <w:rsid w:val="003C33E0"/>
    <w:rsid w:val="003C3EEC"/>
    <w:rsid w:val="003C41A0"/>
    <w:rsid w:val="003C5C55"/>
    <w:rsid w:val="003C78F1"/>
    <w:rsid w:val="003C7FDE"/>
    <w:rsid w:val="003D100B"/>
    <w:rsid w:val="003D1109"/>
    <w:rsid w:val="003D138C"/>
    <w:rsid w:val="003D19D4"/>
    <w:rsid w:val="003D1A4C"/>
    <w:rsid w:val="003D5250"/>
    <w:rsid w:val="003D53F8"/>
    <w:rsid w:val="003D59B4"/>
    <w:rsid w:val="003D608B"/>
    <w:rsid w:val="003D66A7"/>
    <w:rsid w:val="003D7DC2"/>
    <w:rsid w:val="003E06F6"/>
    <w:rsid w:val="003E231C"/>
    <w:rsid w:val="003E328A"/>
    <w:rsid w:val="003E7932"/>
    <w:rsid w:val="003F0572"/>
    <w:rsid w:val="003F0742"/>
    <w:rsid w:val="003F0F79"/>
    <w:rsid w:val="003F224B"/>
    <w:rsid w:val="003F3A5D"/>
    <w:rsid w:val="003F3D14"/>
    <w:rsid w:val="003F4124"/>
    <w:rsid w:val="003F5778"/>
    <w:rsid w:val="003F6F17"/>
    <w:rsid w:val="0040023A"/>
    <w:rsid w:val="004003D2"/>
    <w:rsid w:val="00400594"/>
    <w:rsid w:val="00402793"/>
    <w:rsid w:val="00403A06"/>
    <w:rsid w:val="00404AAC"/>
    <w:rsid w:val="0040551B"/>
    <w:rsid w:val="0040619F"/>
    <w:rsid w:val="00406A15"/>
    <w:rsid w:val="00407641"/>
    <w:rsid w:val="00410255"/>
    <w:rsid w:val="00413E7A"/>
    <w:rsid w:val="00415520"/>
    <w:rsid w:val="0041556C"/>
    <w:rsid w:val="00416615"/>
    <w:rsid w:val="00416816"/>
    <w:rsid w:val="00416EFE"/>
    <w:rsid w:val="00417732"/>
    <w:rsid w:val="004204B1"/>
    <w:rsid w:val="00421380"/>
    <w:rsid w:val="00421926"/>
    <w:rsid w:val="00422201"/>
    <w:rsid w:val="00422491"/>
    <w:rsid w:val="00422A31"/>
    <w:rsid w:val="00423685"/>
    <w:rsid w:val="00423B5E"/>
    <w:rsid w:val="0042612B"/>
    <w:rsid w:val="00427117"/>
    <w:rsid w:val="00427186"/>
    <w:rsid w:val="004274A9"/>
    <w:rsid w:val="00430F7F"/>
    <w:rsid w:val="00432270"/>
    <w:rsid w:val="004325F8"/>
    <w:rsid w:val="00432C80"/>
    <w:rsid w:val="004340C6"/>
    <w:rsid w:val="0043640E"/>
    <w:rsid w:val="00436879"/>
    <w:rsid w:val="00436B17"/>
    <w:rsid w:val="00436FBE"/>
    <w:rsid w:val="00437B73"/>
    <w:rsid w:val="00440A0C"/>
    <w:rsid w:val="00440B4B"/>
    <w:rsid w:val="00441089"/>
    <w:rsid w:val="004410CD"/>
    <w:rsid w:val="00441A94"/>
    <w:rsid w:val="004426EE"/>
    <w:rsid w:val="00443868"/>
    <w:rsid w:val="00444242"/>
    <w:rsid w:val="0044425C"/>
    <w:rsid w:val="00444C16"/>
    <w:rsid w:val="00445916"/>
    <w:rsid w:val="0044670E"/>
    <w:rsid w:val="00450507"/>
    <w:rsid w:val="004505F1"/>
    <w:rsid w:val="00451082"/>
    <w:rsid w:val="00451DC3"/>
    <w:rsid w:val="004538E8"/>
    <w:rsid w:val="0045473D"/>
    <w:rsid w:val="00454CF2"/>
    <w:rsid w:val="004569CE"/>
    <w:rsid w:val="004574D8"/>
    <w:rsid w:val="0046198C"/>
    <w:rsid w:val="00461DCB"/>
    <w:rsid w:val="00465CAD"/>
    <w:rsid w:val="00466235"/>
    <w:rsid w:val="004662CB"/>
    <w:rsid w:val="004663A6"/>
    <w:rsid w:val="00466E69"/>
    <w:rsid w:val="004702CB"/>
    <w:rsid w:val="00470E6C"/>
    <w:rsid w:val="00471D61"/>
    <w:rsid w:val="004742BD"/>
    <w:rsid w:val="004752EC"/>
    <w:rsid w:val="004758AC"/>
    <w:rsid w:val="00475B6A"/>
    <w:rsid w:val="00480BB9"/>
    <w:rsid w:val="00480D44"/>
    <w:rsid w:val="0048115F"/>
    <w:rsid w:val="00481C70"/>
    <w:rsid w:val="004842CC"/>
    <w:rsid w:val="00486181"/>
    <w:rsid w:val="0048654B"/>
    <w:rsid w:val="00486C79"/>
    <w:rsid w:val="004908B1"/>
    <w:rsid w:val="00490B31"/>
    <w:rsid w:val="0049167C"/>
    <w:rsid w:val="00492502"/>
    <w:rsid w:val="00492C8E"/>
    <w:rsid w:val="00493729"/>
    <w:rsid w:val="00494093"/>
    <w:rsid w:val="00495C67"/>
    <w:rsid w:val="00496825"/>
    <w:rsid w:val="00496FF3"/>
    <w:rsid w:val="004A336A"/>
    <w:rsid w:val="004A42A4"/>
    <w:rsid w:val="004A47EE"/>
    <w:rsid w:val="004A5BCD"/>
    <w:rsid w:val="004A6C2C"/>
    <w:rsid w:val="004B14E4"/>
    <w:rsid w:val="004B24A2"/>
    <w:rsid w:val="004B39FD"/>
    <w:rsid w:val="004B3E33"/>
    <w:rsid w:val="004B500B"/>
    <w:rsid w:val="004B64E0"/>
    <w:rsid w:val="004C0A4A"/>
    <w:rsid w:val="004C143A"/>
    <w:rsid w:val="004C189A"/>
    <w:rsid w:val="004C236C"/>
    <w:rsid w:val="004C2B2F"/>
    <w:rsid w:val="004C30D0"/>
    <w:rsid w:val="004C3DCB"/>
    <w:rsid w:val="004C5468"/>
    <w:rsid w:val="004C55B2"/>
    <w:rsid w:val="004C55D0"/>
    <w:rsid w:val="004C5EC8"/>
    <w:rsid w:val="004C644E"/>
    <w:rsid w:val="004C67FD"/>
    <w:rsid w:val="004C7358"/>
    <w:rsid w:val="004C75E6"/>
    <w:rsid w:val="004D2BD2"/>
    <w:rsid w:val="004D2CCA"/>
    <w:rsid w:val="004D33FE"/>
    <w:rsid w:val="004D448E"/>
    <w:rsid w:val="004D4AC3"/>
    <w:rsid w:val="004D4D1D"/>
    <w:rsid w:val="004D4FA5"/>
    <w:rsid w:val="004D6B23"/>
    <w:rsid w:val="004D6B2D"/>
    <w:rsid w:val="004D6ED6"/>
    <w:rsid w:val="004D7DCF"/>
    <w:rsid w:val="004E069E"/>
    <w:rsid w:val="004E1DA4"/>
    <w:rsid w:val="004E225F"/>
    <w:rsid w:val="004E236A"/>
    <w:rsid w:val="004E3E38"/>
    <w:rsid w:val="004E4089"/>
    <w:rsid w:val="004E55E7"/>
    <w:rsid w:val="004E670D"/>
    <w:rsid w:val="004E7825"/>
    <w:rsid w:val="004F1B79"/>
    <w:rsid w:val="004F1CD1"/>
    <w:rsid w:val="004F2140"/>
    <w:rsid w:val="004F2241"/>
    <w:rsid w:val="004F3880"/>
    <w:rsid w:val="004F4B75"/>
    <w:rsid w:val="004F4E99"/>
    <w:rsid w:val="004F51CB"/>
    <w:rsid w:val="004F5D63"/>
    <w:rsid w:val="004F6025"/>
    <w:rsid w:val="004F6959"/>
    <w:rsid w:val="004F727F"/>
    <w:rsid w:val="0050057C"/>
    <w:rsid w:val="00500731"/>
    <w:rsid w:val="00501122"/>
    <w:rsid w:val="00501673"/>
    <w:rsid w:val="00501D7E"/>
    <w:rsid w:val="005030E7"/>
    <w:rsid w:val="0050410B"/>
    <w:rsid w:val="00505631"/>
    <w:rsid w:val="00505FB3"/>
    <w:rsid w:val="005067C1"/>
    <w:rsid w:val="00506D4C"/>
    <w:rsid w:val="0050755A"/>
    <w:rsid w:val="00507749"/>
    <w:rsid w:val="00507C52"/>
    <w:rsid w:val="0051049F"/>
    <w:rsid w:val="005109F6"/>
    <w:rsid w:val="0051189B"/>
    <w:rsid w:val="0051296D"/>
    <w:rsid w:val="00512B53"/>
    <w:rsid w:val="00512D41"/>
    <w:rsid w:val="00513589"/>
    <w:rsid w:val="00513AEF"/>
    <w:rsid w:val="0051692E"/>
    <w:rsid w:val="00516E57"/>
    <w:rsid w:val="0052138B"/>
    <w:rsid w:val="00523900"/>
    <w:rsid w:val="00523DB7"/>
    <w:rsid w:val="00523DCA"/>
    <w:rsid w:val="00523E11"/>
    <w:rsid w:val="005252E1"/>
    <w:rsid w:val="00526168"/>
    <w:rsid w:val="00526509"/>
    <w:rsid w:val="005266F7"/>
    <w:rsid w:val="00526CC5"/>
    <w:rsid w:val="005278AB"/>
    <w:rsid w:val="00531435"/>
    <w:rsid w:val="005335D7"/>
    <w:rsid w:val="00533FCB"/>
    <w:rsid w:val="00534B25"/>
    <w:rsid w:val="00534C20"/>
    <w:rsid w:val="00534F3F"/>
    <w:rsid w:val="005364F5"/>
    <w:rsid w:val="00536D1E"/>
    <w:rsid w:val="00536DF9"/>
    <w:rsid w:val="00537CDD"/>
    <w:rsid w:val="00540013"/>
    <w:rsid w:val="00540600"/>
    <w:rsid w:val="005412B6"/>
    <w:rsid w:val="00542389"/>
    <w:rsid w:val="00542A37"/>
    <w:rsid w:val="00543317"/>
    <w:rsid w:val="00543D39"/>
    <w:rsid w:val="005454D5"/>
    <w:rsid w:val="00546137"/>
    <w:rsid w:val="005478DF"/>
    <w:rsid w:val="00550225"/>
    <w:rsid w:val="00551618"/>
    <w:rsid w:val="005518B2"/>
    <w:rsid w:val="00552557"/>
    <w:rsid w:val="00554470"/>
    <w:rsid w:val="00554ED1"/>
    <w:rsid w:val="00557AB9"/>
    <w:rsid w:val="00560026"/>
    <w:rsid w:val="00561215"/>
    <w:rsid w:val="00561930"/>
    <w:rsid w:val="00570477"/>
    <w:rsid w:val="0057068E"/>
    <w:rsid w:val="005735E3"/>
    <w:rsid w:val="00574A6B"/>
    <w:rsid w:val="005750E0"/>
    <w:rsid w:val="00577164"/>
    <w:rsid w:val="00577534"/>
    <w:rsid w:val="00577C95"/>
    <w:rsid w:val="00577CC9"/>
    <w:rsid w:val="00580904"/>
    <w:rsid w:val="00580B25"/>
    <w:rsid w:val="00580EA0"/>
    <w:rsid w:val="005818EC"/>
    <w:rsid w:val="005825FF"/>
    <w:rsid w:val="0058272B"/>
    <w:rsid w:val="005827B2"/>
    <w:rsid w:val="005837D1"/>
    <w:rsid w:val="00584619"/>
    <w:rsid w:val="00584983"/>
    <w:rsid w:val="005851B3"/>
    <w:rsid w:val="005856CB"/>
    <w:rsid w:val="00586058"/>
    <w:rsid w:val="0058680C"/>
    <w:rsid w:val="00586B29"/>
    <w:rsid w:val="0059079A"/>
    <w:rsid w:val="00591320"/>
    <w:rsid w:val="00593B90"/>
    <w:rsid w:val="0059492B"/>
    <w:rsid w:val="0059547F"/>
    <w:rsid w:val="00595A89"/>
    <w:rsid w:val="00596A67"/>
    <w:rsid w:val="00597441"/>
    <w:rsid w:val="00597507"/>
    <w:rsid w:val="005A14BE"/>
    <w:rsid w:val="005A1F46"/>
    <w:rsid w:val="005A32AC"/>
    <w:rsid w:val="005A4265"/>
    <w:rsid w:val="005A5584"/>
    <w:rsid w:val="005A5B7A"/>
    <w:rsid w:val="005A684F"/>
    <w:rsid w:val="005A6CC0"/>
    <w:rsid w:val="005A6DC6"/>
    <w:rsid w:val="005A7E32"/>
    <w:rsid w:val="005B09CC"/>
    <w:rsid w:val="005B23A4"/>
    <w:rsid w:val="005B4F75"/>
    <w:rsid w:val="005B5309"/>
    <w:rsid w:val="005B6FC9"/>
    <w:rsid w:val="005C0762"/>
    <w:rsid w:val="005C1E4D"/>
    <w:rsid w:val="005C28C0"/>
    <w:rsid w:val="005C3A54"/>
    <w:rsid w:val="005C4003"/>
    <w:rsid w:val="005C44A7"/>
    <w:rsid w:val="005C5457"/>
    <w:rsid w:val="005C56CD"/>
    <w:rsid w:val="005D0476"/>
    <w:rsid w:val="005D16A9"/>
    <w:rsid w:val="005D28DD"/>
    <w:rsid w:val="005D2F9D"/>
    <w:rsid w:val="005D3DD0"/>
    <w:rsid w:val="005D4293"/>
    <w:rsid w:val="005D4D2B"/>
    <w:rsid w:val="005D5395"/>
    <w:rsid w:val="005D5540"/>
    <w:rsid w:val="005D56B5"/>
    <w:rsid w:val="005D6844"/>
    <w:rsid w:val="005D6B20"/>
    <w:rsid w:val="005D6CAD"/>
    <w:rsid w:val="005D6D0F"/>
    <w:rsid w:val="005D7B79"/>
    <w:rsid w:val="005D7D42"/>
    <w:rsid w:val="005E052E"/>
    <w:rsid w:val="005E2425"/>
    <w:rsid w:val="005E2B56"/>
    <w:rsid w:val="005E3D44"/>
    <w:rsid w:val="005E3DF1"/>
    <w:rsid w:val="005E4311"/>
    <w:rsid w:val="005E4397"/>
    <w:rsid w:val="005E5DE6"/>
    <w:rsid w:val="005E6823"/>
    <w:rsid w:val="005E704A"/>
    <w:rsid w:val="005E73AB"/>
    <w:rsid w:val="005E7AD3"/>
    <w:rsid w:val="005F105E"/>
    <w:rsid w:val="005F26CA"/>
    <w:rsid w:val="005F2EF5"/>
    <w:rsid w:val="005F3F54"/>
    <w:rsid w:val="005F4054"/>
    <w:rsid w:val="005F4A4D"/>
    <w:rsid w:val="005F520F"/>
    <w:rsid w:val="005F53E2"/>
    <w:rsid w:val="005F66BE"/>
    <w:rsid w:val="005F6AAD"/>
    <w:rsid w:val="006021EA"/>
    <w:rsid w:val="00603880"/>
    <w:rsid w:val="006056F4"/>
    <w:rsid w:val="0060625A"/>
    <w:rsid w:val="006067F4"/>
    <w:rsid w:val="006068B1"/>
    <w:rsid w:val="00610F33"/>
    <w:rsid w:val="00611123"/>
    <w:rsid w:val="0061129D"/>
    <w:rsid w:val="00613A85"/>
    <w:rsid w:val="00613A86"/>
    <w:rsid w:val="00613E30"/>
    <w:rsid w:val="00613F8D"/>
    <w:rsid w:val="006173E0"/>
    <w:rsid w:val="0061784C"/>
    <w:rsid w:val="00617ABD"/>
    <w:rsid w:val="00617ACC"/>
    <w:rsid w:val="006214E9"/>
    <w:rsid w:val="00621CAF"/>
    <w:rsid w:val="0062238F"/>
    <w:rsid w:val="0062509C"/>
    <w:rsid w:val="006257CD"/>
    <w:rsid w:val="006262E3"/>
    <w:rsid w:val="00626352"/>
    <w:rsid w:val="00626AE4"/>
    <w:rsid w:val="00627072"/>
    <w:rsid w:val="0063038A"/>
    <w:rsid w:val="00630697"/>
    <w:rsid w:val="00632A6C"/>
    <w:rsid w:val="00632CAE"/>
    <w:rsid w:val="0063399B"/>
    <w:rsid w:val="0063568D"/>
    <w:rsid w:val="006367DF"/>
    <w:rsid w:val="00637651"/>
    <w:rsid w:val="00637DC8"/>
    <w:rsid w:val="006412B3"/>
    <w:rsid w:val="00641626"/>
    <w:rsid w:val="006427AC"/>
    <w:rsid w:val="00643117"/>
    <w:rsid w:val="006440D7"/>
    <w:rsid w:val="0064591A"/>
    <w:rsid w:val="00646ACB"/>
    <w:rsid w:val="006502A0"/>
    <w:rsid w:val="006507F7"/>
    <w:rsid w:val="0065154A"/>
    <w:rsid w:val="0065197F"/>
    <w:rsid w:val="00652090"/>
    <w:rsid w:val="0065377C"/>
    <w:rsid w:val="006537A9"/>
    <w:rsid w:val="00653B90"/>
    <w:rsid w:val="00654013"/>
    <w:rsid w:val="0065405D"/>
    <w:rsid w:val="00654F68"/>
    <w:rsid w:val="00655267"/>
    <w:rsid w:val="0065579A"/>
    <w:rsid w:val="00655DD3"/>
    <w:rsid w:val="006565A4"/>
    <w:rsid w:val="0066006D"/>
    <w:rsid w:val="00665007"/>
    <w:rsid w:val="00665169"/>
    <w:rsid w:val="0066581D"/>
    <w:rsid w:val="00665842"/>
    <w:rsid w:val="00666A7B"/>
    <w:rsid w:val="0066709C"/>
    <w:rsid w:val="00670418"/>
    <w:rsid w:val="00670BAB"/>
    <w:rsid w:val="00673621"/>
    <w:rsid w:val="006738C3"/>
    <w:rsid w:val="00674CDA"/>
    <w:rsid w:val="00674EF3"/>
    <w:rsid w:val="00675D6F"/>
    <w:rsid w:val="00676DF1"/>
    <w:rsid w:val="0067735E"/>
    <w:rsid w:val="00680033"/>
    <w:rsid w:val="006818BB"/>
    <w:rsid w:val="006819A9"/>
    <w:rsid w:val="00682797"/>
    <w:rsid w:val="006837D8"/>
    <w:rsid w:val="006868E9"/>
    <w:rsid w:val="006876E1"/>
    <w:rsid w:val="00690497"/>
    <w:rsid w:val="006925AF"/>
    <w:rsid w:val="006928B8"/>
    <w:rsid w:val="0069417E"/>
    <w:rsid w:val="00694C66"/>
    <w:rsid w:val="006951AE"/>
    <w:rsid w:val="006963A8"/>
    <w:rsid w:val="006963F0"/>
    <w:rsid w:val="0069781D"/>
    <w:rsid w:val="006A0584"/>
    <w:rsid w:val="006A4085"/>
    <w:rsid w:val="006A4E36"/>
    <w:rsid w:val="006A51FA"/>
    <w:rsid w:val="006A5E50"/>
    <w:rsid w:val="006A65CD"/>
    <w:rsid w:val="006A73C3"/>
    <w:rsid w:val="006B1479"/>
    <w:rsid w:val="006B1BFA"/>
    <w:rsid w:val="006B3721"/>
    <w:rsid w:val="006B3DCE"/>
    <w:rsid w:val="006B47CD"/>
    <w:rsid w:val="006B5836"/>
    <w:rsid w:val="006B6DF5"/>
    <w:rsid w:val="006B7AA2"/>
    <w:rsid w:val="006C00B9"/>
    <w:rsid w:val="006C048A"/>
    <w:rsid w:val="006C179F"/>
    <w:rsid w:val="006C3BFC"/>
    <w:rsid w:val="006C4362"/>
    <w:rsid w:val="006C55F5"/>
    <w:rsid w:val="006C5D0D"/>
    <w:rsid w:val="006C5D67"/>
    <w:rsid w:val="006C6E4D"/>
    <w:rsid w:val="006C7E73"/>
    <w:rsid w:val="006D2135"/>
    <w:rsid w:val="006D2D4C"/>
    <w:rsid w:val="006D3029"/>
    <w:rsid w:val="006D448B"/>
    <w:rsid w:val="006D5BDC"/>
    <w:rsid w:val="006D5E3A"/>
    <w:rsid w:val="006D6678"/>
    <w:rsid w:val="006D6CE8"/>
    <w:rsid w:val="006D6EED"/>
    <w:rsid w:val="006D74A9"/>
    <w:rsid w:val="006E130D"/>
    <w:rsid w:val="006E143B"/>
    <w:rsid w:val="006E3A2E"/>
    <w:rsid w:val="006E4820"/>
    <w:rsid w:val="006E61B9"/>
    <w:rsid w:val="006F1841"/>
    <w:rsid w:val="006F2A9E"/>
    <w:rsid w:val="006F2FEC"/>
    <w:rsid w:val="006F3557"/>
    <w:rsid w:val="006F3C4D"/>
    <w:rsid w:val="006F4BD7"/>
    <w:rsid w:val="006F5078"/>
    <w:rsid w:val="006F5674"/>
    <w:rsid w:val="006F56AE"/>
    <w:rsid w:val="006F5FD5"/>
    <w:rsid w:val="006F6FA2"/>
    <w:rsid w:val="006F75A4"/>
    <w:rsid w:val="007005D9"/>
    <w:rsid w:val="007008D0"/>
    <w:rsid w:val="00700A08"/>
    <w:rsid w:val="00701AC6"/>
    <w:rsid w:val="007024E3"/>
    <w:rsid w:val="007028C8"/>
    <w:rsid w:val="007034FE"/>
    <w:rsid w:val="00703842"/>
    <w:rsid w:val="007060F5"/>
    <w:rsid w:val="007110AE"/>
    <w:rsid w:val="0071141C"/>
    <w:rsid w:val="00711F11"/>
    <w:rsid w:val="0071269F"/>
    <w:rsid w:val="0071421A"/>
    <w:rsid w:val="007147D8"/>
    <w:rsid w:val="00715ED1"/>
    <w:rsid w:val="007179D2"/>
    <w:rsid w:val="00717B61"/>
    <w:rsid w:val="00720A06"/>
    <w:rsid w:val="00720B1F"/>
    <w:rsid w:val="00721593"/>
    <w:rsid w:val="00721A82"/>
    <w:rsid w:val="00721F27"/>
    <w:rsid w:val="00722497"/>
    <w:rsid w:val="00723058"/>
    <w:rsid w:val="00723B4D"/>
    <w:rsid w:val="00731A64"/>
    <w:rsid w:val="00732AAA"/>
    <w:rsid w:val="00733E23"/>
    <w:rsid w:val="00733F93"/>
    <w:rsid w:val="0073465C"/>
    <w:rsid w:val="0073539E"/>
    <w:rsid w:val="00740F58"/>
    <w:rsid w:val="00741EFE"/>
    <w:rsid w:val="00744B36"/>
    <w:rsid w:val="007452DA"/>
    <w:rsid w:val="00747EBA"/>
    <w:rsid w:val="007503B2"/>
    <w:rsid w:val="00750E02"/>
    <w:rsid w:val="007515DA"/>
    <w:rsid w:val="00752866"/>
    <w:rsid w:val="00752B2B"/>
    <w:rsid w:val="00753019"/>
    <w:rsid w:val="0075448E"/>
    <w:rsid w:val="0075594B"/>
    <w:rsid w:val="00755D6E"/>
    <w:rsid w:val="0075601A"/>
    <w:rsid w:val="007561DC"/>
    <w:rsid w:val="00756CF7"/>
    <w:rsid w:val="007570C0"/>
    <w:rsid w:val="00757CD1"/>
    <w:rsid w:val="00761A84"/>
    <w:rsid w:val="00763237"/>
    <w:rsid w:val="00764E45"/>
    <w:rsid w:val="0076677C"/>
    <w:rsid w:val="007667C6"/>
    <w:rsid w:val="007672C8"/>
    <w:rsid w:val="00770533"/>
    <w:rsid w:val="007753FA"/>
    <w:rsid w:val="00775E2F"/>
    <w:rsid w:val="007778B8"/>
    <w:rsid w:val="0077799E"/>
    <w:rsid w:val="00782949"/>
    <w:rsid w:val="00783502"/>
    <w:rsid w:val="0078532F"/>
    <w:rsid w:val="00785EDE"/>
    <w:rsid w:val="00786466"/>
    <w:rsid w:val="00791F84"/>
    <w:rsid w:val="00792421"/>
    <w:rsid w:val="00792F9C"/>
    <w:rsid w:val="00793793"/>
    <w:rsid w:val="00793A9E"/>
    <w:rsid w:val="00795CD4"/>
    <w:rsid w:val="007965CB"/>
    <w:rsid w:val="00797283"/>
    <w:rsid w:val="00797639"/>
    <w:rsid w:val="007A0018"/>
    <w:rsid w:val="007A03E2"/>
    <w:rsid w:val="007A0E37"/>
    <w:rsid w:val="007A1A6F"/>
    <w:rsid w:val="007A29FD"/>
    <w:rsid w:val="007A3656"/>
    <w:rsid w:val="007A3903"/>
    <w:rsid w:val="007A462E"/>
    <w:rsid w:val="007A5408"/>
    <w:rsid w:val="007A5D05"/>
    <w:rsid w:val="007A6643"/>
    <w:rsid w:val="007A6FA6"/>
    <w:rsid w:val="007A743F"/>
    <w:rsid w:val="007B02A9"/>
    <w:rsid w:val="007B05AB"/>
    <w:rsid w:val="007B1FA5"/>
    <w:rsid w:val="007B2845"/>
    <w:rsid w:val="007B2B54"/>
    <w:rsid w:val="007B37B6"/>
    <w:rsid w:val="007C1E45"/>
    <w:rsid w:val="007C3200"/>
    <w:rsid w:val="007C3231"/>
    <w:rsid w:val="007C3E6B"/>
    <w:rsid w:val="007C56C3"/>
    <w:rsid w:val="007C7DE4"/>
    <w:rsid w:val="007D02E0"/>
    <w:rsid w:val="007D237F"/>
    <w:rsid w:val="007D26ED"/>
    <w:rsid w:val="007D3BA5"/>
    <w:rsid w:val="007D441B"/>
    <w:rsid w:val="007D5F5A"/>
    <w:rsid w:val="007D7105"/>
    <w:rsid w:val="007D76C1"/>
    <w:rsid w:val="007E0FC5"/>
    <w:rsid w:val="007E1318"/>
    <w:rsid w:val="007E1A56"/>
    <w:rsid w:val="007E1E7D"/>
    <w:rsid w:val="007E2732"/>
    <w:rsid w:val="007E3313"/>
    <w:rsid w:val="007E43D9"/>
    <w:rsid w:val="007E4577"/>
    <w:rsid w:val="007E45AC"/>
    <w:rsid w:val="007E6937"/>
    <w:rsid w:val="007E7FE8"/>
    <w:rsid w:val="007F09D0"/>
    <w:rsid w:val="007F13FD"/>
    <w:rsid w:val="007F1F80"/>
    <w:rsid w:val="007F3197"/>
    <w:rsid w:val="007F39E7"/>
    <w:rsid w:val="007F6143"/>
    <w:rsid w:val="007F6E6C"/>
    <w:rsid w:val="007F7615"/>
    <w:rsid w:val="007F7F39"/>
    <w:rsid w:val="00800E13"/>
    <w:rsid w:val="00801D8E"/>
    <w:rsid w:val="00803E28"/>
    <w:rsid w:val="008040F0"/>
    <w:rsid w:val="008045CF"/>
    <w:rsid w:val="008052FB"/>
    <w:rsid w:val="0080648C"/>
    <w:rsid w:val="00806FEF"/>
    <w:rsid w:val="008070EF"/>
    <w:rsid w:val="0081019B"/>
    <w:rsid w:val="008105FE"/>
    <w:rsid w:val="00810DF1"/>
    <w:rsid w:val="00811E1F"/>
    <w:rsid w:val="008125B8"/>
    <w:rsid w:val="008125C8"/>
    <w:rsid w:val="00814C3E"/>
    <w:rsid w:val="0081646C"/>
    <w:rsid w:val="00816D94"/>
    <w:rsid w:val="008203A6"/>
    <w:rsid w:val="00821059"/>
    <w:rsid w:val="00822254"/>
    <w:rsid w:val="00822663"/>
    <w:rsid w:val="008229E8"/>
    <w:rsid w:val="0082693E"/>
    <w:rsid w:val="00827709"/>
    <w:rsid w:val="00827F2F"/>
    <w:rsid w:val="008302AF"/>
    <w:rsid w:val="00831F87"/>
    <w:rsid w:val="0083205E"/>
    <w:rsid w:val="008341E1"/>
    <w:rsid w:val="008343BA"/>
    <w:rsid w:val="008364EA"/>
    <w:rsid w:val="008375FC"/>
    <w:rsid w:val="0083789B"/>
    <w:rsid w:val="008405EB"/>
    <w:rsid w:val="0084084A"/>
    <w:rsid w:val="00841C44"/>
    <w:rsid w:val="00843445"/>
    <w:rsid w:val="0084422A"/>
    <w:rsid w:val="00845327"/>
    <w:rsid w:val="00845AA6"/>
    <w:rsid w:val="00845B07"/>
    <w:rsid w:val="008461AD"/>
    <w:rsid w:val="00847217"/>
    <w:rsid w:val="00850BE7"/>
    <w:rsid w:val="0085259E"/>
    <w:rsid w:val="00854D3F"/>
    <w:rsid w:val="00854D7D"/>
    <w:rsid w:val="00857730"/>
    <w:rsid w:val="00860600"/>
    <w:rsid w:val="00861554"/>
    <w:rsid w:val="00864119"/>
    <w:rsid w:val="00864450"/>
    <w:rsid w:val="0086663B"/>
    <w:rsid w:val="00866904"/>
    <w:rsid w:val="00867EE5"/>
    <w:rsid w:val="00870698"/>
    <w:rsid w:val="008728FE"/>
    <w:rsid w:val="00872AA7"/>
    <w:rsid w:val="0087449D"/>
    <w:rsid w:val="008765DA"/>
    <w:rsid w:val="00877E3A"/>
    <w:rsid w:val="00877F69"/>
    <w:rsid w:val="00880397"/>
    <w:rsid w:val="00880A88"/>
    <w:rsid w:val="00881415"/>
    <w:rsid w:val="00885FA6"/>
    <w:rsid w:val="00886BE7"/>
    <w:rsid w:val="00886EF6"/>
    <w:rsid w:val="00887634"/>
    <w:rsid w:val="0089037F"/>
    <w:rsid w:val="0089122F"/>
    <w:rsid w:val="00891ADC"/>
    <w:rsid w:val="00891CB5"/>
    <w:rsid w:val="00892FD4"/>
    <w:rsid w:val="00893466"/>
    <w:rsid w:val="00894868"/>
    <w:rsid w:val="008949C6"/>
    <w:rsid w:val="00894E79"/>
    <w:rsid w:val="00895597"/>
    <w:rsid w:val="00895B70"/>
    <w:rsid w:val="008966BA"/>
    <w:rsid w:val="008A0ED0"/>
    <w:rsid w:val="008A2049"/>
    <w:rsid w:val="008A21B6"/>
    <w:rsid w:val="008A253E"/>
    <w:rsid w:val="008A2996"/>
    <w:rsid w:val="008A2FBF"/>
    <w:rsid w:val="008A34FB"/>
    <w:rsid w:val="008A3521"/>
    <w:rsid w:val="008A38A4"/>
    <w:rsid w:val="008A4FD2"/>
    <w:rsid w:val="008A5135"/>
    <w:rsid w:val="008A558E"/>
    <w:rsid w:val="008A7D7F"/>
    <w:rsid w:val="008B0294"/>
    <w:rsid w:val="008B1182"/>
    <w:rsid w:val="008B204D"/>
    <w:rsid w:val="008B407E"/>
    <w:rsid w:val="008B48DB"/>
    <w:rsid w:val="008B4D0B"/>
    <w:rsid w:val="008B72B4"/>
    <w:rsid w:val="008B77E8"/>
    <w:rsid w:val="008B7EF2"/>
    <w:rsid w:val="008C004A"/>
    <w:rsid w:val="008C4A6F"/>
    <w:rsid w:val="008C530F"/>
    <w:rsid w:val="008C544F"/>
    <w:rsid w:val="008C55E1"/>
    <w:rsid w:val="008C58B2"/>
    <w:rsid w:val="008C5969"/>
    <w:rsid w:val="008C60E8"/>
    <w:rsid w:val="008C630C"/>
    <w:rsid w:val="008C7BF7"/>
    <w:rsid w:val="008C7D8A"/>
    <w:rsid w:val="008D0994"/>
    <w:rsid w:val="008D0CF4"/>
    <w:rsid w:val="008D1A07"/>
    <w:rsid w:val="008D1D36"/>
    <w:rsid w:val="008D3097"/>
    <w:rsid w:val="008D3383"/>
    <w:rsid w:val="008D3664"/>
    <w:rsid w:val="008D3777"/>
    <w:rsid w:val="008D5D46"/>
    <w:rsid w:val="008D680C"/>
    <w:rsid w:val="008E13D9"/>
    <w:rsid w:val="008E163B"/>
    <w:rsid w:val="008E1B4F"/>
    <w:rsid w:val="008E3C48"/>
    <w:rsid w:val="008E592C"/>
    <w:rsid w:val="008E596E"/>
    <w:rsid w:val="008E5F57"/>
    <w:rsid w:val="008E6A04"/>
    <w:rsid w:val="008E7087"/>
    <w:rsid w:val="008F08B6"/>
    <w:rsid w:val="008F1073"/>
    <w:rsid w:val="008F26D6"/>
    <w:rsid w:val="008F4309"/>
    <w:rsid w:val="008F5800"/>
    <w:rsid w:val="008F64FB"/>
    <w:rsid w:val="008F69D1"/>
    <w:rsid w:val="008F6F19"/>
    <w:rsid w:val="008F704F"/>
    <w:rsid w:val="00900081"/>
    <w:rsid w:val="00900418"/>
    <w:rsid w:val="0090045E"/>
    <w:rsid w:val="00903286"/>
    <w:rsid w:val="00904135"/>
    <w:rsid w:val="009047DA"/>
    <w:rsid w:val="00904966"/>
    <w:rsid w:val="00905825"/>
    <w:rsid w:val="0090595C"/>
    <w:rsid w:val="00905B06"/>
    <w:rsid w:val="00911361"/>
    <w:rsid w:val="00913575"/>
    <w:rsid w:val="00916190"/>
    <w:rsid w:val="009163AC"/>
    <w:rsid w:val="00920A86"/>
    <w:rsid w:val="009212F7"/>
    <w:rsid w:val="00921F15"/>
    <w:rsid w:val="00922DD9"/>
    <w:rsid w:val="0092359A"/>
    <w:rsid w:val="009258D8"/>
    <w:rsid w:val="00925904"/>
    <w:rsid w:val="00925D72"/>
    <w:rsid w:val="00925DD0"/>
    <w:rsid w:val="0092732B"/>
    <w:rsid w:val="00930B58"/>
    <w:rsid w:val="00931A43"/>
    <w:rsid w:val="00941315"/>
    <w:rsid w:val="009449C0"/>
    <w:rsid w:val="00944CF2"/>
    <w:rsid w:val="009453D6"/>
    <w:rsid w:val="00945A1D"/>
    <w:rsid w:val="009462C3"/>
    <w:rsid w:val="00947D36"/>
    <w:rsid w:val="00952E04"/>
    <w:rsid w:val="009537BE"/>
    <w:rsid w:val="00953979"/>
    <w:rsid w:val="0095603B"/>
    <w:rsid w:val="0095609F"/>
    <w:rsid w:val="009578FD"/>
    <w:rsid w:val="00957A88"/>
    <w:rsid w:val="0096170B"/>
    <w:rsid w:val="009618DF"/>
    <w:rsid w:val="009636B8"/>
    <w:rsid w:val="009639BD"/>
    <w:rsid w:val="00963A81"/>
    <w:rsid w:val="00963E55"/>
    <w:rsid w:val="00964C2F"/>
    <w:rsid w:val="00966680"/>
    <w:rsid w:val="00966EAC"/>
    <w:rsid w:val="00967A55"/>
    <w:rsid w:val="0097241F"/>
    <w:rsid w:val="009726FC"/>
    <w:rsid w:val="00972A9D"/>
    <w:rsid w:val="009735B6"/>
    <w:rsid w:val="00974151"/>
    <w:rsid w:val="0097782D"/>
    <w:rsid w:val="00980415"/>
    <w:rsid w:val="009827FC"/>
    <w:rsid w:val="00982957"/>
    <w:rsid w:val="00987A23"/>
    <w:rsid w:val="00987A87"/>
    <w:rsid w:val="00987E87"/>
    <w:rsid w:val="0099277B"/>
    <w:rsid w:val="009944BC"/>
    <w:rsid w:val="00995477"/>
    <w:rsid w:val="00995935"/>
    <w:rsid w:val="00995EFF"/>
    <w:rsid w:val="00996046"/>
    <w:rsid w:val="009968FC"/>
    <w:rsid w:val="00997E52"/>
    <w:rsid w:val="00997EBA"/>
    <w:rsid w:val="009A09DB"/>
    <w:rsid w:val="009A197A"/>
    <w:rsid w:val="009A538C"/>
    <w:rsid w:val="009A5609"/>
    <w:rsid w:val="009A5D0E"/>
    <w:rsid w:val="009A668B"/>
    <w:rsid w:val="009B05F8"/>
    <w:rsid w:val="009B0FE8"/>
    <w:rsid w:val="009B19DF"/>
    <w:rsid w:val="009B1A00"/>
    <w:rsid w:val="009B3727"/>
    <w:rsid w:val="009B40DF"/>
    <w:rsid w:val="009B525C"/>
    <w:rsid w:val="009B5C19"/>
    <w:rsid w:val="009B7CF1"/>
    <w:rsid w:val="009C1B3A"/>
    <w:rsid w:val="009C1D8D"/>
    <w:rsid w:val="009C1E6C"/>
    <w:rsid w:val="009C2241"/>
    <w:rsid w:val="009C3E4C"/>
    <w:rsid w:val="009C574E"/>
    <w:rsid w:val="009C5F94"/>
    <w:rsid w:val="009C66C5"/>
    <w:rsid w:val="009C6B15"/>
    <w:rsid w:val="009C6BFC"/>
    <w:rsid w:val="009C789A"/>
    <w:rsid w:val="009C7A4C"/>
    <w:rsid w:val="009D1B1C"/>
    <w:rsid w:val="009D22A3"/>
    <w:rsid w:val="009D25DF"/>
    <w:rsid w:val="009D3AEC"/>
    <w:rsid w:val="009D4055"/>
    <w:rsid w:val="009D6B04"/>
    <w:rsid w:val="009D71E9"/>
    <w:rsid w:val="009E0803"/>
    <w:rsid w:val="009E0F90"/>
    <w:rsid w:val="009E101A"/>
    <w:rsid w:val="009E2939"/>
    <w:rsid w:val="009E30FA"/>
    <w:rsid w:val="009E3545"/>
    <w:rsid w:val="009E39CD"/>
    <w:rsid w:val="009E3A48"/>
    <w:rsid w:val="009E50A2"/>
    <w:rsid w:val="009E5F4A"/>
    <w:rsid w:val="009E6E9B"/>
    <w:rsid w:val="009E72D3"/>
    <w:rsid w:val="009E7508"/>
    <w:rsid w:val="009F03EB"/>
    <w:rsid w:val="009F0CA4"/>
    <w:rsid w:val="009F3A01"/>
    <w:rsid w:val="009F3C35"/>
    <w:rsid w:val="009F51D1"/>
    <w:rsid w:val="009F53C6"/>
    <w:rsid w:val="009F5C96"/>
    <w:rsid w:val="009F6102"/>
    <w:rsid w:val="009F6D08"/>
    <w:rsid w:val="009F741A"/>
    <w:rsid w:val="009F7BA2"/>
    <w:rsid w:val="00A00B93"/>
    <w:rsid w:val="00A026AB"/>
    <w:rsid w:val="00A036BA"/>
    <w:rsid w:val="00A036E5"/>
    <w:rsid w:val="00A04FF3"/>
    <w:rsid w:val="00A05649"/>
    <w:rsid w:val="00A05F3F"/>
    <w:rsid w:val="00A066B7"/>
    <w:rsid w:val="00A100A0"/>
    <w:rsid w:val="00A14587"/>
    <w:rsid w:val="00A152A6"/>
    <w:rsid w:val="00A15A11"/>
    <w:rsid w:val="00A16098"/>
    <w:rsid w:val="00A16F02"/>
    <w:rsid w:val="00A17BB9"/>
    <w:rsid w:val="00A17F23"/>
    <w:rsid w:val="00A20F24"/>
    <w:rsid w:val="00A216D9"/>
    <w:rsid w:val="00A21C77"/>
    <w:rsid w:val="00A21FFC"/>
    <w:rsid w:val="00A22197"/>
    <w:rsid w:val="00A22AB3"/>
    <w:rsid w:val="00A23437"/>
    <w:rsid w:val="00A23AA8"/>
    <w:rsid w:val="00A25566"/>
    <w:rsid w:val="00A25F9E"/>
    <w:rsid w:val="00A30319"/>
    <w:rsid w:val="00A32D43"/>
    <w:rsid w:val="00A35FE5"/>
    <w:rsid w:val="00A4048E"/>
    <w:rsid w:val="00A42B61"/>
    <w:rsid w:val="00A44740"/>
    <w:rsid w:val="00A45A36"/>
    <w:rsid w:val="00A46129"/>
    <w:rsid w:val="00A4662D"/>
    <w:rsid w:val="00A46B2F"/>
    <w:rsid w:val="00A47755"/>
    <w:rsid w:val="00A47FB1"/>
    <w:rsid w:val="00A50855"/>
    <w:rsid w:val="00A50C73"/>
    <w:rsid w:val="00A52263"/>
    <w:rsid w:val="00A523DE"/>
    <w:rsid w:val="00A52451"/>
    <w:rsid w:val="00A548C6"/>
    <w:rsid w:val="00A572AC"/>
    <w:rsid w:val="00A57478"/>
    <w:rsid w:val="00A62CEB"/>
    <w:rsid w:val="00A64190"/>
    <w:rsid w:val="00A64E31"/>
    <w:rsid w:val="00A6540C"/>
    <w:rsid w:val="00A66A46"/>
    <w:rsid w:val="00A66FFF"/>
    <w:rsid w:val="00A67845"/>
    <w:rsid w:val="00A70A36"/>
    <w:rsid w:val="00A7100C"/>
    <w:rsid w:val="00A71257"/>
    <w:rsid w:val="00A723D7"/>
    <w:rsid w:val="00A729E9"/>
    <w:rsid w:val="00A73416"/>
    <w:rsid w:val="00A74516"/>
    <w:rsid w:val="00A74A54"/>
    <w:rsid w:val="00A74C42"/>
    <w:rsid w:val="00A74C9A"/>
    <w:rsid w:val="00A75E01"/>
    <w:rsid w:val="00A75EE8"/>
    <w:rsid w:val="00A764E4"/>
    <w:rsid w:val="00A76FC7"/>
    <w:rsid w:val="00A77F86"/>
    <w:rsid w:val="00A80566"/>
    <w:rsid w:val="00A808EC"/>
    <w:rsid w:val="00A80DDF"/>
    <w:rsid w:val="00A81224"/>
    <w:rsid w:val="00A81AE2"/>
    <w:rsid w:val="00A81D12"/>
    <w:rsid w:val="00A825B6"/>
    <w:rsid w:val="00A82ABA"/>
    <w:rsid w:val="00A83AEB"/>
    <w:rsid w:val="00A846A8"/>
    <w:rsid w:val="00A853A0"/>
    <w:rsid w:val="00A8655D"/>
    <w:rsid w:val="00A9159F"/>
    <w:rsid w:val="00A91870"/>
    <w:rsid w:val="00A94EE8"/>
    <w:rsid w:val="00A94F06"/>
    <w:rsid w:val="00A95623"/>
    <w:rsid w:val="00A96003"/>
    <w:rsid w:val="00A962D4"/>
    <w:rsid w:val="00A97AA8"/>
    <w:rsid w:val="00A97C21"/>
    <w:rsid w:val="00AA03A2"/>
    <w:rsid w:val="00AA0CD3"/>
    <w:rsid w:val="00AA2041"/>
    <w:rsid w:val="00AA2EA5"/>
    <w:rsid w:val="00AA3389"/>
    <w:rsid w:val="00AA4866"/>
    <w:rsid w:val="00AA4D5A"/>
    <w:rsid w:val="00AA4E13"/>
    <w:rsid w:val="00AA4F01"/>
    <w:rsid w:val="00AA56B6"/>
    <w:rsid w:val="00AA57D8"/>
    <w:rsid w:val="00AA61D6"/>
    <w:rsid w:val="00AA75BC"/>
    <w:rsid w:val="00AA7814"/>
    <w:rsid w:val="00AB6203"/>
    <w:rsid w:val="00AB64E5"/>
    <w:rsid w:val="00AB70AE"/>
    <w:rsid w:val="00AC1B3E"/>
    <w:rsid w:val="00AC3E2E"/>
    <w:rsid w:val="00AC46DB"/>
    <w:rsid w:val="00AC568A"/>
    <w:rsid w:val="00AC6528"/>
    <w:rsid w:val="00AC7122"/>
    <w:rsid w:val="00AC7394"/>
    <w:rsid w:val="00AD01D2"/>
    <w:rsid w:val="00AD05DB"/>
    <w:rsid w:val="00AD0C7E"/>
    <w:rsid w:val="00AD1843"/>
    <w:rsid w:val="00AD26DC"/>
    <w:rsid w:val="00AD32CE"/>
    <w:rsid w:val="00AD4C86"/>
    <w:rsid w:val="00AD6627"/>
    <w:rsid w:val="00AE15DA"/>
    <w:rsid w:val="00AE207C"/>
    <w:rsid w:val="00AE2556"/>
    <w:rsid w:val="00AE283F"/>
    <w:rsid w:val="00AE2BAF"/>
    <w:rsid w:val="00AE36DD"/>
    <w:rsid w:val="00AE3813"/>
    <w:rsid w:val="00AE3D37"/>
    <w:rsid w:val="00AE4312"/>
    <w:rsid w:val="00AE6FA2"/>
    <w:rsid w:val="00AE7B9D"/>
    <w:rsid w:val="00AF1DD7"/>
    <w:rsid w:val="00AF2025"/>
    <w:rsid w:val="00AF23E3"/>
    <w:rsid w:val="00AF28D4"/>
    <w:rsid w:val="00AF2D54"/>
    <w:rsid w:val="00AF3DA7"/>
    <w:rsid w:val="00AF3E9B"/>
    <w:rsid w:val="00AF4688"/>
    <w:rsid w:val="00AF4F47"/>
    <w:rsid w:val="00AF5297"/>
    <w:rsid w:val="00AF6F8C"/>
    <w:rsid w:val="00AF75AF"/>
    <w:rsid w:val="00B00B82"/>
    <w:rsid w:val="00B00B98"/>
    <w:rsid w:val="00B01281"/>
    <w:rsid w:val="00B01484"/>
    <w:rsid w:val="00B01DE3"/>
    <w:rsid w:val="00B02D3A"/>
    <w:rsid w:val="00B06A91"/>
    <w:rsid w:val="00B07BAD"/>
    <w:rsid w:val="00B13B56"/>
    <w:rsid w:val="00B14E42"/>
    <w:rsid w:val="00B156F7"/>
    <w:rsid w:val="00B15941"/>
    <w:rsid w:val="00B16584"/>
    <w:rsid w:val="00B17229"/>
    <w:rsid w:val="00B20342"/>
    <w:rsid w:val="00B2043F"/>
    <w:rsid w:val="00B2102D"/>
    <w:rsid w:val="00B21836"/>
    <w:rsid w:val="00B22D0B"/>
    <w:rsid w:val="00B22ECA"/>
    <w:rsid w:val="00B23A29"/>
    <w:rsid w:val="00B24846"/>
    <w:rsid w:val="00B254C4"/>
    <w:rsid w:val="00B25F85"/>
    <w:rsid w:val="00B30843"/>
    <w:rsid w:val="00B31575"/>
    <w:rsid w:val="00B31FD4"/>
    <w:rsid w:val="00B33A80"/>
    <w:rsid w:val="00B34077"/>
    <w:rsid w:val="00B35330"/>
    <w:rsid w:val="00B36605"/>
    <w:rsid w:val="00B404FB"/>
    <w:rsid w:val="00B4057A"/>
    <w:rsid w:val="00B42887"/>
    <w:rsid w:val="00B43F58"/>
    <w:rsid w:val="00B444C6"/>
    <w:rsid w:val="00B44921"/>
    <w:rsid w:val="00B450A0"/>
    <w:rsid w:val="00B45DEE"/>
    <w:rsid w:val="00B46A43"/>
    <w:rsid w:val="00B474BA"/>
    <w:rsid w:val="00B47793"/>
    <w:rsid w:val="00B5001A"/>
    <w:rsid w:val="00B504A3"/>
    <w:rsid w:val="00B52555"/>
    <w:rsid w:val="00B535D5"/>
    <w:rsid w:val="00B543AC"/>
    <w:rsid w:val="00B56C7A"/>
    <w:rsid w:val="00B56D0D"/>
    <w:rsid w:val="00B57171"/>
    <w:rsid w:val="00B60308"/>
    <w:rsid w:val="00B61250"/>
    <w:rsid w:val="00B61CE1"/>
    <w:rsid w:val="00B623A2"/>
    <w:rsid w:val="00B63616"/>
    <w:rsid w:val="00B63F17"/>
    <w:rsid w:val="00B707DC"/>
    <w:rsid w:val="00B7132C"/>
    <w:rsid w:val="00B71570"/>
    <w:rsid w:val="00B718C0"/>
    <w:rsid w:val="00B73246"/>
    <w:rsid w:val="00B7340D"/>
    <w:rsid w:val="00B7376D"/>
    <w:rsid w:val="00B73C10"/>
    <w:rsid w:val="00B74FBB"/>
    <w:rsid w:val="00B7670C"/>
    <w:rsid w:val="00B84513"/>
    <w:rsid w:val="00B84F07"/>
    <w:rsid w:val="00B84FDE"/>
    <w:rsid w:val="00B85587"/>
    <w:rsid w:val="00B86090"/>
    <w:rsid w:val="00B87523"/>
    <w:rsid w:val="00B9080F"/>
    <w:rsid w:val="00B94E2A"/>
    <w:rsid w:val="00B9627D"/>
    <w:rsid w:val="00B97F7D"/>
    <w:rsid w:val="00BA036D"/>
    <w:rsid w:val="00BA0938"/>
    <w:rsid w:val="00BA0FB5"/>
    <w:rsid w:val="00BA14AB"/>
    <w:rsid w:val="00BA195B"/>
    <w:rsid w:val="00BA2642"/>
    <w:rsid w:val="00BA2C86"/>
    <w:rsid w:val="00BA35F4"/>
    <w:rsid w:val="00BA4CD9"/>
    <w:rsid w:val="00BA688E"/>
    <w:rsid w:val="00BA789E"/>
    <w:rsid w:val="00BB3614"/>
    <w:rsid w:val="00BB5C68"/>
    <w:rsid w:val="00BB7CD6"/>
    <w:rsid w:val="00BC2B70"/>
    <w:rsid w:val="00BC3ABC"/>
    <w:rsid w:val="00BC3AD9"/>
    <w:rsid w:val="00BC5E30"/>
    <w:rsid w:val="00BC62EA"/>
    <w:rsid w:val="00BC6BD1"/>
    <w:rsid w:val="00BC7110"/>
    <w:rsid w:val="00BC7C9C"/>
    <w:rsid w:val="00BD022E"/>
    <w:rsid w:val="00BD0893"/>
    <w:rsid w:val="00BD0C30"/>
    <w:rsid w:val="00BD28BF"/>
    <w:rsid w:val="00BD2FD1"/>
    <w:rsid w:val="00BD448E"/>
    <w:rsid w:val="00BD4C37"/>
    <w:rsid w:val="00BD54E3"/>
    <w:rsid w:val="00BD60D3"/>
    <w:rsid w:val="00BD610E"/>
    <w:rsid w:val="00BD627F"/>
    <w:rsid w:val="00BD7545"/>
    <w:rsid w:val="00BE1F0B"/>
    <w:rsid w:val="00BE21CE"/>
    <w:rsid w:val="00BE2519"/>
    <w:rsid w:val="00BE40BA"/>
    <w:rsid w:val="00BE4C8A"/>
    <w:rsid w:val="00BE6DBD"/>
    <w:rsid w:val="00BE78CB"/>
    <w:rsid w:val="00BF1045"/>
    <w:rsid w:val="00BF2C3B"/>
    <w:rsid w:val="00BF383E"/>
    <w:rsid w:val="00BF3CA1"/>
    <w:rsid w:val="00BF3F75"/>
    <w:rsid w:val="00BF68CD"/>
    <w:rsid w:val="00BF6F4A"/>
    <w:rsid w:val="00C00348"/>
    <w:rsid w:val="00C00527"/>
    <w:rsid w:val="00C00CD4"/>
    <w:rsid w:val="00C015E0"/>
    <w:rsid w:val="00C0413B"/>
    <w:rsid w:val="00C04AC1"/>
    <w:rsid w:val="00C0680D"/>
    <w:rsid w:val="00C06D90"/>
    <w:rsid w:val="00C07EFE"/>
    <w:rsid w:val="00C10F73"/>
    <w:rsid w:val="00C11FF7"/>
    <w:rsid w:val="00C13C22"/>
    <w:rsid w:val="00C13D26"/>
    <w:rsid w:val="00C145C2"/>
    <w:rsid w:val="00C14DA8"/>
    <w:rsid w:val="00C15652"/>
    <w:rsid w:val="00C16AD9"/>
    <w:rsid w:val="00C16D87"/>
    <w:rsid w:val="00C201CA"/>
    <w:rsid w:val="00C20AC5"/>
    <w:rsid w:val="00C20CF3"/>
    <w:rsid w:val="00C216F3"/>
    <w:rsid w:val="00C23763"/>
    <w:rsid w:val="00C24966"/>
    <w:rsid w:val="00C256E4"/>
    <w:rsid w:val="00C26254"/>
    <w:rsid w:val="00C26731"/>
    <w:rsid w:val="00C27B97"/>
    <w:rsid w:val="00C27BB5"/>
    <w:rsid w:val="00C3220E"/>
    <w:rsid w:val="00C330E2"/>
    <w:rsid w:val="00C333C6"/>
    <w:rsid w:val="00C33DF3"/>
    <w:rsid w:val="00C34002"/>
    <w:rsid w:val="00C3417A"/>
    <w:rsid w:val="00C34371"/>
    <w:rsid w:val="00C34A00"/>
    <w:rsid w:val="00C35F26"/>
    <w:rsid w:val="00C36021"/>
    <w:rsid w:val="00C37FB1"/>
    <w:rsid w:val="00C4034A"/>
    <w:rsid w:val="00C40E0D"/>
    <w:rsid w:val="00C42C46"/>
    <w:rsid w:val="00C43004"/>
    <w:rsid w:val="00C45E12"/>
    <w:rsid w:val="00C47782"/>
    <w:rsid w:val="00C50B4F"/>
    <w:rsid w:val="00C511CC"/>
    <w:rsid w:val="00C518B5"/>
    <w:rsid w:val="00C524D9"/>
    <w:rsid w:val="00C52C41"/>
    <w:rsid w:val="00C56006"/>
    <w:rsid w:val="00C568BA"/>
    <w:rsid w:val="00C601C4"/>
    <w:rsid w:val="00C617E2"/>
    <w:rsid w:val="00C61BF5"/>
    <w:rsid w:val="00C62143"/>
    <w:rsid w:val="00C64C6E"/>
    <w:rsid w:val="00C65688"/>
    <w:rsid w:val="00C66495"/>
    <w:rsid w:val="00C66F96"/>
    <w:rsid w:val="00C70649"/>
    <w:rsid w:val="00C70C8F"/>
    <w:rsid w:val="00C7138A"/>
    <w:rsid w:val="00C72319"/>
    <w:rsid w:val="00C7243C"/>
    <w:rsid w:val="00C76F79"/>
    <w:rsid w:val="00C82263"/>
    <w:rsid w:val="00C83949"/>
    <w:rsid w:val="00C84B06"/>
    <w:rsid w:val="00C858E3"/>
    <w:rsid w:val="00C85F2D"/>
    <w:rsid w:val="00C867BC"/>
    <w:rsid w:val="00C86927"/>
    <w:rsid w:val="00C871E6"/>
    <w:rsid w:val="00C874FA"/>
    <w:rsid w:val="00C901BF"/>
    <w:rsid w:val="00C908A1"/>
    <w:rsid w:val="00C91503"/>
    <w:rsid w:val="00C91A91"/>
    <w:rsid w:val="00C91DCB"/>
    <w:rsid w:val="00C93FF2"/>
    <w:rsid w:val="00C9478B"/>
    <w:rsid w:val="00C94FEA"/>
    <w:rsid w:val="00C976F9"/>
    <w:rsid w:val="00CA0F6A"/>
    <w:rsid w:val="00CA1C8A"/>
    <w:rsid w:val="00CA38CE"/>
    <w:rsid w:val="00CA3E43"/>
    <w:rsid w:val="00CA3ED0"/>
    <w:rsid w:val="00CA5194"/>
    <w:rsid w:val="00CA5487"/>
    <w:rsid w:val="00CA5E00"/>
    <w:rsid w:val="00CA6D4F"/>
    <w:rsid w:val="00CA7CB5"/>
    <w:rsid w:val="00CB16DF"/>
    <w:rsid w:val="00CB1ACB"/>
    <w:rsid w:val="00CB2EED"/>
    <w:rsid w:val="00CB6A19"/>
    <w:rsid w:val="00CC2BB5"/>
    <w:rsid w:val="00CC4A8E"/>
    <w:rsid w:val="00CD01B1"/>
    <w:rsid w:val="00CD1616"/>
    <w:rsid w:val="00CD1916"/>
    <w:rsid w:val="00CD1F15"/>
    <w:rsid w:val="00CD3E60"/>
    <w:rsid w:val="00CD478F"/>
    <w:rsid w:val="00CE14A6"/>
    <w:rsid w:val="00CE3BCE"/>
    <w:rsid w:val="00CE744C"/>
    <w:rsid w:val="00CE7EE6"/>
    <w:rsid w:val="00CF1593"/>
    <w:rsid w:val="00CF198D"/>
    <w:rsid w:val="00CF215E"/>
    <w:rsid w:val="00CF266E"/>
    <w:rsid w:val="00CF269A"/>
    <w:rsid w:val="00CF2A84"/>
    <w:rsid w:val="00D008CE"/>
    <w:rsid w:val="00D008D6"/>
    <w:rsid w:val="00D027EC"/>
    <w:rsid w:val="00D03415"/>
    <w:rsid w:val="00D03BCC"/>
    <w:rsid w:val="00D0409F"/>
    <w:rsid w:val="00D051B4"/>
    <w:rsid w:val="00D07396"/>
    <w:rsid w:val="00D07D10"/>
    <w:rsid w:val="00D12249"/>
    <w:rsid w:val="00D139D7"/>
    <w:rsid w:val="00D14051"/>
    <w:rsid w:val="00D1431A"/>
    <w:rsid w:val="00D145B9"/>
    <w:rsid w:val="00D14C8C"/>
    <w:rsid w:val="00D14DAB"/>
    <w:rsid w:val="00D15771"/>
    <w:rsid w:val="00D17FAE"/>
    <w:rsid w:val="00D210FD"/>
    <w:rsid w:val="00D213D7"/>
    <w:rsid w:val="00D21705"/>
    <w:rsid w:val="00D228EA"/>
    <w:rsid w:val="00D22F48"/>
    <w:rsid w:val="00D25F93"/>
    <w:rsid w:val="00D30F48"/>
    <w:rsid w:val="00D32276"/>
    <w:rsid w:val="00D332BC"/>
    <w:rsid w:val="00D358AF"/>
    <w:rsid w:val="00D35D16"/>
    <w:rsid w:val="00D36C6A"/>
    <w:rsid w:val="00D37A01"/>
    <w:rsid w:val="00D40A03"/>
    <w:rsid w:val="00D43BD8"/>
    <w:rsid w:val="00D44743"/>
    <w:rsid w:val="00D44C8B"/>
    <w:rsid w:val="00D45FB8"/>
    <w:rsid w:val="00D4712E"/>
    <w:rsid w:val="00D5060F"/>
    <w:rsid w:val="00D50981"/>
    <w:rsid w:val="00D50D9B"/>
    <w:rsid w:val="00D53361"/>
    <w:rsid w:val="00D53A8C"/>
    <w:rsid w:val="00D5528C"/>
    <w:rsid w:val="00D558F7"/>
    <w:rsid w:val="00D56B87"/>
    <w:rsid w:val="00D56F64"/>
    <w:rsid w:val="00D572B5"/>
    <w:rsid w:val="00D57A9C"/>
    <w:rsid w:val="00D60E6A"/>
    <w:rsid w:val="00D62012"/>
    <w:rsid w:val="00D626B1"/>
    <w:rsid w:val="00D632D9"/>
    <w:rsid w:val="00D64CCE"/>
    <w:rsid w:val="00D65C07"/>
    <w:rsid w:val="00D65CCF"/>
    <w:rsid w:val="00D663A2"/>
    <w:rsid w:val="00D66B1E"/>
    <w:rsid w:val="00D678FF"/>
    <w:rsid w:val="00D67C7E"/>
    <w:rsid w:val="00D70A74"/>
    <w:rsid w:val="00D72B72"/>
    <w:rsid w:val="00D72DD7"/>
    <w:rsid w:val="00D72F9F"/>
    <w:rsid w:val="00D73A28"/>
    <w:rsid w:val="00D7432A"/>
    <w:rsid w:val="00D748CC"/>
    <w:rsid w:val="00D748FD"/>
    <w:rsid w:val="00D74C38"/>
    <w:rsid w:val="00D75B5D"/>
    <w:rsid w:val="00D779C0"/>
    <w:rsid w:val="00D81816"/>
    <w:rsid w:val="00D82655"/>
    <w:rsid w:val="00D826B1"/>
    <w:rsid w:val="00D84BE5"/>
    <w:rsid w:val="00D85B3A"/>
    <w:rsid w:val="00D85BDC"/>
    <w:rsid w:val="00D8751B"/>
    <w:rsid w:val="00D917E6"/>
    <w:rsid w:val="00D93404"/>
    <w:rsid w:val="00D943F4"/>
    <w:rsid w:val="00D95482"/>
    <w:rsid w:val="00D960F6"/>
    <w:rsid w:val="00D96455"/>
    <w:rsid w:val="00D96844"/>
    <w:rsid w:val="00DA02EF"/>
    <w:rsid w:val="00DA05E9"/>
    <w:rsid w:val="00DA0AA1"/>
    <w:rsid w:val="00DA13E5"/>
    <w:rsid w:val="00DA1B6A"/>
    <w:rsid w:val="00DA26A1"/>
    <w:rsid w:val="00DA3742"/>
    <w:rsid w:val="00DA7528"/>
    <w:rsid w:val="00DA7C0C"/>
    <w:rsid w:val="00DB0FB1"/>
    <w:rsid w:val="00DB250D"/>
    <w:rsid w:val="00DB2D49"/>
    <w:rsid w:val="00DB4F40"/>
    <w:rsid w:val="00DB5444"/>
    <w:rsid w:val="00DB64F3"/>
    <w:rsid w:val="00DB66C0"/>
    <w:rsid w:val="00DB6B41"/>
    <w:rsid w:val="00DB6EF5"/>
    <w:rsid w:val="00DC1D34"/>
    <w:rsid w:val="00DC25CC"/>
    <w:rsid w:val="00DC260C"/>
    <w:rsid w:val="00DC3C5B"/>
    <w:rsid w:val="00DC4397"/>
    <w:rsid w:val="00DC4488"/>
    <w:rsid w:val="00DC51A7"/>
    <w:rsid w:val="00DC5D01"/>
    <w:rsid w:val="00DC6322"/>
    <w:rsid w:val="00DD0B1E"/>
    <w:rsid w:val="00DD0CAB"/>
    <w:rsid w:val="00DD2B16"/>
    <w:rsid w:val="00DD2D53"/>
    <w:rsid w:val="00DD2F8C"/>
    <w:rsid w:val="00DD3251"/>
    <w:rsid w:val="00DD38CB"/>
    <w:rsid w:val="00DD44F1"/>
    <w:rsid w:val="00DD4608"/>
    <w:rsid w:val="00DD4F1F"/>
    <w:rsid w:val="00DD543F"/>
    <w:rsid w:val="00DD5FAD"/>
    <w:rsid w:val="00DD6BF5"/>
    <w:rsid w:val="00DD7E85"/>
    <w:rsid w:val="00DE0541"/>
    <w:rsid w:val="00DE0F25"/>
    <w:rsid w:val="00DE2CBA"/>
    <w:rsid w:val="00DE33E9"/>
    <w:rsid w:val="00DE35E5"/>
    <w:rsid w:val="00DE3D1E"/>
    <w:rsid w:val="00DE45E4"/>
    <w:rsid w:val="00DE57AA"/>
    <w:rsid w:val="00DE5958"/>
    <w:rsid w:val="00DF00D3"/>
    <w:rsid w:val="00DF0968"/>
    <w:rsid w:val="00DF2371"/>
    <w:rsid w:val="00DF3C8D"/>
    <w:rsid w:val="00DF4376"/>
    <w:rsid w:val="00DF441A"/>
    <w:rsid w:val="00DF4E68"/>
    <w:rsid w:val="00E0172E"/>
    <w:rsid w:val="00E0261D"/>
    <w:rsid w:val="00E02BEF"/>
    <w:rsid w:val="00E03D02"/>
    <w:rsid w:val="00E04A80"/>
    <w:rsid w:val="00E060D7"/>
    <w:rsid w:val="00E1051C"/>
    <w:rsid w:val="00E1071F"/>
    <w:rsid w:val="00E11A79"/>
    <w:rsid w:val="00E11CF8"/>
    <w:rsid w:val="00E127A6"/>
    <w:rsid w:val="00E12E0E"/>
    <w:rsid w:val="00E149E8"/>
    <w:rsid w:val="00E159CA"/>
    <w:rsid w:val="00E15E7C"/>
    <w:rsid w:val="00E16C3A"/>
    <w:rsid w:val="00E16E41"/>
    <w:rsid w:val="00E16FC6"/>
    <w:rsid w:val="00E22A47"/>
    <w:rsid w:val="00E23506"/>
    <w:rsid w:val="00E23667"/>
    <w:rsid w:val="00E24A0A"/>
    <w:rsid w:val="00E26682"/>
    <w:rsid w:val="00E32591"/>
    <w:rsid w:val="00E32AE6"/>
    <w:rsid w:val="00E32CDB"/>
    <w:rsid w:val="00E33DD2"/>
    <w:rsid w:val="00E356A4"/>
    <w:rsid w:val="00E44238"/>
    <w:rsid w:val="00E44824"/>
    <w:rsid w:val="00E46511"/>
    <w:rsid w:val="00E501C1"/>
    <w:rsid w:val="00E504CD"/>
    <w:rsid w:val="00E504DA"/>
    <w:rsid w:val="00E50945"/>
    <w:rsid w:val="00E50EE6"/>
    <w:rsid w:val="00E51D4C"/>
    <w:rsid w:val="00E51F48"/>
    <w:rsid w:val="00E52BCD"/>
    <w:rsid w:val="00E53815"/>
    <w:rsid w:val="00E53BC4"/>
    <w:rsid w:val="00E553EF"/>
    <w:rsid w:val="00E565A8"/>
    <w:rsid w:val="00E56612"/>
    <w:rsid w:val="00E5694C"/>
    <w:rsid w:val="00E5753D"/>
    <w:rsid w:val="00E60CCB"/>
    <w:rsid w:val="00E61B71"/>
    <w:rsid w:val="00E64B25"/>
    <w:rsid w:val="00E666AD"/>
    <w:rsid w:val="00E667BE"/>
    <w:rsid w:val="00E6692C"/>
    <w:rsid w:val="00E706C0"/>
    <w:rsid w:val="00E70F34"/>
    <w:rsid w:val="00E7246C"/>
    <w:rsid w:val="00E7490A"/>
    <w:rsid w:val="00E74B31"/>
    <w:rsid w:val="00E7796C"/>
    <w:rsid w:val="00E8156F"/>
    <w:rsid w:val="00E82052"/>
    <w:rsid w:val="00E82890"/>
    <w:rsid w:val="00E82B37"/>
    <w:rsid w:val="00E83FB8"/>
    <w:rsid w:val="00E8407B"/>
    <w:rsid w:val="00E84596"/>
    <w:rsid w:val="00E84A58"/>
    <w:rsid w:val="00E852E8"/>
    <w:rsid w:val="00E853CB"/>
    <w:rsid w:val="00E86278"/>
    <w:rsid w:val="00E8757A"/>
    <w:rsid w:val="00E9191B"/>
    <w:rsid w:val="00E92815"/>
    <w:rsid w:val="00E93200"/>
    <w:rsid w:val="00E94730"/>
    <w:rsid w:val="00E94BF1"/>
    <w:rsid w:val="00E94D09"/>
    <w:rsid w:val="00E95BD5"/>
    <w:rsid w:val="00EA0CFE"/>
    <w:rsid w:val="00EA489B"/>
    <w:rsid w:val="00EA50F2"/>
    <w:rsid w:val="00EA5C74"/>
    <w:rsid w:val="00EA67F4"/>
    <w:rsid w:val="00EB017E"/>
    <w:rsid w:val="00EB0A8F"/>
    <w:rsid w:val="00EB147B"/>
    <w:rsid w:val="00EB25DE"/>
    <w:rsid w:val="00EB28B1"/>
    <w:rsid w:val="00EB28B9"/>
    <w:rsid w:val="00EB3D7B"/>
    <w:rsid w:val="00EB4154"/>
    <w:rsid w:val="00EB57C6"/>
    <w:rsid w:val="00EB7375"/>
    <w:rsid w:val="00EB778A"/>
    <w:rsid w:val="00EB77B5"/>
    <w:rsid w:val="00EC042F"/>
    <w:rsid w:val="00EC0431"/>
    <w:rsid w:val="00EC06DE"/>
    <w:rsid w:val="00EC189F"/>
    <w:rsid w:val="00EC2DD5"/>
    <w:rsid w:val="00EC2E6A"/>
    <w:rsid w:val="00EC47E6"/>
    <w:rsid w:val="00EC4979"/>
    <w:rsid w:val="00EC5686"/>
    <w:rsid w:val="00EC5767"/>
    <w:rsid w:val="00ED16B4"/>
    <w:rsid w:val="00ED2066"/>
    <w:rsid w:val="00ED2C48"/>
    <w:rsid w:val="00ED2FCD"/>
    <w:rsid w:val="00ED43F8"/>
    <w:rsid w:val="00ED442B"/>
    <w:rsid w:val="00ED5922"/>
    <w:rsid w:val="00ED6861"/>
    <w:rsid w:val="00ED69E4"/>
    <w:rsid w:val="00ED7072"/>
    <w:rsid w:val="00EE098A"/>
    <w:rsid w:val="00EE1761"/>
    <w:rsid w:val="00EE284E"/>
    <w:rsid w:val="00EE2E92"/>
    <w:rsid w:val="00EE3ACB"/>
    <w:rsid w:val="00EE3C09"/>
    <w:rsid w:val="00EE4B31"/>
    <w:rsid w:val="00EE4D5D"/>
    <w:rsid w:val="00EE5750"/>
    <w:rsid w:val="00EE60C9"/>
    <w:rsid w:val="00EF18C4"/>
    <w:rsid w:val="00EF2729"/>
    <w:rsid w:val="00EF361B"/>
    <w:rsid w:val="00EF4AA8"/>
    <w:rsid w:val="00EF50DA"/>
    <w:rsid w:val="00EF5245"/>
    <w:rsid w:val="00EF6CFA"/>
    <w:rsid w:val="00F011A7"/>
    <w:rsid w:val="00F02575"/>
    <w:rsid w:val="00F02703"/>
    <w:rsid w:val="00F02FBF"/>
    <w:rsid w:val="00F03957"/>
    <w:rsid w:val="00F03B8E"/>
    <w:rsid w:val="00F04BE5"/>
    <w:rsid w:val="00F0613C"/>
    <w:rsid w:val="00F07A17"/>
    <w:rsid w:val="00F10816"/>
    <w:rsid w:val="00F10E3A"/>
    <w:rsid w:val="00F13BA0"/>
    <w:rsid w:val="00F1446C"/>
    <w:rsid w:val="00F14534"/>
    <w:rsid w:val="00F14CA0"/>
    <w:rsid w:val="00F14E8C"/>
    <w:rsid w:val="00F154D2"/>
    <w:rsid w:val="00F15C70"/>
    <w:rsid w:val="00F21763"/>
    <w:rsid w:val="00F21ABB"/>
    <w:rsid w:val="00F21E96"/>
    <w:rsid w:val="00F2238B"/>
    <w:rsid w:val="00F22F00"/>
    <w:rsid w:val="00F255FB"/>
    <w:rsid w:val="00F259A3"/>
    <w:rsid w:val="00F265CA"/>
    <w:rsid w:val="00F27B81"/>
    <w:rsid w:val="00F302D5"/>
    <w:rsid w:val="00F31A22"/>
    <w:rsid w:val="00F33115"/>
    <w:rsid w:val="00F33310"/>
    <w:rsid w:val="00F34622"/>
    <w:rsid w:val="00F356DD"/>
    <w:rsid w:val="00F369D4"/>
    <w:rsid w:val="00F37589"/>
    <w:rsid w:val="00F4086E"/>
    <w:rsid w:val="00F40AE1"/>
    <w:rsid w:val="00F41676"/>
    <w:rsid w:val="00F42AE1"/>
    <w:rsid w:val="00F43148"/>
    <w:rsid w:val="00F449BD"/>
    <w:rsid w:val="00F45400"/>
    <w:rsid w:val="00F46FAF"/>
    <w:rsid w:val="00F521DF"/>
    <w:rsid w:val="00F52444"/>
    <w:rsid w:val="00F534BD"/>
    <w:rsid w:val="00F54482"/>
    <w:rsid w:val="00F5457F"/>
    <w:rsid w:val="00F54A45"/>
    <w:rsid w:val="00F54BE4"/>
    <w:rsid w:val="00F5795E"/>
    <w:rsid w:val="00F62A51"/>
    <w:rsid w:val="00F632F3"/>
    <w:rsid w:val="00F64323"/>
    <w:rsid w:val="00F654A2"/>
    <w:rsid w:val="00F65891"/>
    <w:rsid w:val="00F66279"/>
    <w:rsid w:val="00F669E6"/>
    <w:rsid w:val="00F66CA1"/>
    <w:rsid w:val="00F6720B"/>
    <w:rsid w:val="00F676B0"/>
    <w:rsid w:val="00F67F9E"/>
    <w:rsid w:val="00F7063F"/>
    <w:rsid w:val="00F70B0F"/>
    <w:rsid w:val="00F719BD"/>
    <w:rsid w:val="00F71ED8"/>
    <w:rsid w:val="00F7259E"/>
    <w:rsid w:val="00F73846"/>
    <w:rsid w:val="00F73E6E"/>
    <w:rsid w:val="00F740D4"/>
    <w:rsid w:val="00F8066E"/>
    <w:rsid w:val="00F81199"/>
    <w:rsid w:val="00F819C4"/>
    <w:rsid w:val="00F830F0"/>
    <w:rsid w:val="00F8372C"/>
    <w:rsid w:val="00F846DD"/>
    <w:rsid w:val="00F84790"/>
    <w:rsid w:val="00F84B5A"/>
    <w:rsid w:val="00F84BDB"/>
    <w:rsid w:val="00F84C08"/>
    <w:rsid w:val="00F84FF9"/>
    <w:rsid w:val="00F86565"/>
    <w:rsid w:val="00F87E4E"/>
    <w:rsid w:val="00F904EC"/>
    <w:rsid w:val="00F906BD"/>
    <w:rsid w:val="00F91302"/>
    <w:rsid w:val="00F92BEE"/>
    <w:rsid w:val="00F92DD6"/>
    <w:rsid w:val="00F94A64"/>
    <w:rsid w:val="00F95731"/>
    <w:rsid w:val="00F9648B"/>
    <w:rsid w:val="00F96E0F"/>
    <w:rsid w:val="00FA07BC"/>
    <w:rsid w:val="00FA0CE5"/>
    <w:rsid w:val="00FA0FCA"/>
    <w:rsid w:val="00FA121C"/>
    <w:rsid w:val="00FA130A"/>
    <w:rsid w:val="00FA1396"/>
    <w:rsid w:val="00FA13DC"/>
    <w:rsid w:val="00FA149E"/>
    <w:rsid w:val="00FA18B0"/>
    <w:rsid w:val="00FA1C83"/>
    <w:rsid w:val="00FA1D4A"/>
    <w:rsid w:val="00FA2A0B"/>
    <w:rsid w:val="00FA2D6D"/>
    <w:rsid w:val="00FA4789"/>
    <w:rsid w:val="00FA6171"/>
    <w:rsid w:val="00FA6F3F"/>
    <w:rsid w:val="00FA7774"/>
    <w:rsid w:val="00FA7A8F"/>
    <w:rsid w:val="00FA7F24"/>
    <w:rsid w:val="00FB138E"/>
    <w:rsid w:val="00FB1D2D"/>
    <w:rsid w:val="00FB3E6D"/>
    <w:rsid w:val="00FB4A53"/>
    <w:rsid w:val="00FB510E"/>
    <w:rsid w:val="00FB60C2"/>
    <w:rsid w:val="00FB69AD"/>
    <w:rsid w:val="00FC03C3"/>
    <w:rsid w:val="00FC057B"/>
    <w:rsid w:val="00FC14DA"/>
    <w:rsid w:val="00FC1E18"/>
    <w:rsid w:val="00FC2467"/>
    <w:rsid w:val="00FC3447"/>
    <w:rsid w:val="00FC3ACF"/>
    <w:rsid w:val="00FC3C11"/>
    <w:rsid w:val="00FC3CA2"/>
    <w:rsid w:val="00FC3F8B"/>
    <w:rsid w:val="00FC40A4"/>
    <w:rsid w:val="00FC7476"/>
    <w:rsid w:val="00FD08A6"/>
    <w:rsid w:val="00FD1420"/>
    <w:rsid w:val="00FD1AFF"/>
    <w:rsid w:val="00FD461E"/>
    <w:rsid w:val="00FD47F2"/>
    <w:rsid w:val="00FD522B"/>
    <w:rsid w:val="00FD5B08"/>
    <w:rsid w:val="00FD65E1"/>
    <w:rsid w:val="00FD6A6A"/>
    <w:rsid w:val="00FD7813"/>
    <w:rsid w:val="00FD7CE3"/>
    <w:rsid w:val="00FD7D8F"/>
    <w:rsid w:val="00FE0B52"/>
    <w:rsid w:val="00FE274C"/>
    <w:rsid w:val="00FE31CE"/>
    <w:rsid w:val="00FE5908"/>
    <w:rsid w:val="00FE75A2"/>
    <w:rsid w:val="00FE7D82"/>
    <w:rsid w:val="00FF078D"/>
    <w:rsid w:val="00FF164D"/>
    <w:rsid w:val="00FF2B62"/>
    <w:rsid w:val="00FF3079"/>
    <w:rsid w:val="00FF3F36"/>
    <w:rsid w:val="00FF3FDC"/>
    <w:rsid w:val="00FF43BA"/>
    <w:rsid w:val="00FF4E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61E"/>
  </w:style>
  <w:style w:type="paragraph" w:styleId="Heading1">
    <w:name w:val="heading 1"/>
    <w:basedOn w:val="Normal"/>
    <w:next w:val="Normal"/>
    <w:link w:val="Heading1Char"/>
    <w:uiPriority w:val="9"/>
    <w:qFormat/>
    <w:rsid w:val="002745FD"/>
    <w:pPr>
      <w:keepNext/>
      <w:keepLines/>
      <w:spacing w:before="480" w:after="480"/>
      <w:outlineLvl w:val="0"/>
    </w:pPr>
    <w:rPr>
      <w:rFonts w:eastAsiaTheme="majorEastAsia" w:cstheme="majorBidi"/>
      <w:b/>
      <w:bCs/>
      <w:color w:val="000000" w:themeColor="text1"/>
      <w:szCs w:val="28"/>
    </w:rPr>
  </w:style>
  <w:style w:type="paragraph" w:styleId="Heading2">
    <w:name w:val="heading 2"/>
    <w:basedOn w:val="Normal"/>
    <w:next w:val="Normal"/>
    <w:link w:val="Heading2Char"/>
    <w:uiPriority w:val="9"/>
    <w:unhideWhenUsed/>
    <w:qFormat/>
    <w:rsid w:val="002745FD"/>
    <w:pPr>
      <w:keepNext/>
      <w:keepLines/>
      <w:spacing w:before="240" w:after="24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922DD9"/>
    <w:pPr>
      <w:keepNext/>
      <w:keepLines/>
      <w:spacing w:before="240" w:after="24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45FD"/>
    <w:rPr>
      <w:rFonts w:eastAsiaTheme="majorEastAsia" w:cstheme="majorBidi"/>
      <w:b/>
      <w:bCs/>
      <w:color w:val="000000" w:themeColor="text1"/>
      <w:szCs w:val="28"/>
    </w:rPr>
  </w:style>
  <w:style w:type="character" w:customStyle="1" w:styleId="Heading2Char">
    <w:name w:val="Heading 2 Char"/>
    <w:basedOn w:val="DefaultParagraphFont"/>
    <w:link w:val="Heading2"/>
    <w:uiPriority w:val="9"/>
    <w:rsid w:val="002745FD"/>
    <w:rPr>
      <w:rFonts w:eastAsiaTheme="majorEastAsia" w:cstheme="majorBidi"/>
      <w:b/>
      <w:bCs/>
      <w:szCs w:val="26"/>
    </w:rPr>
  </w:style>
  <w:style w:type="character" w:customStyle="1" w:styleId="Heading3Char">
    <w:name w:val="Heading 3 Char"/>
    <w:basedOn w:val="DefaultParagraphFont"/>
    <w:link w:val="Heading3"/>
    <w:uiPriority w:val="9"/>
    <w:rsid w:val="00922DD9"/>
    <w:rPr>
      <w:rFonts w:eastAsiaTheme="majorEastAsia" w:cstheme="majorBidi"/>
      <w:b/>
      <w:bCs/>
    </w:rPr>
  </w:style>
  <w:style w:type="paragraph" w:styleId="ListParagraph">
    <w:name w:val="List Paragraph"/>
    <w:basedOn w:val="Normal"/>
    <w:uiPriority w:val="34"/>
    <w:qFormat/>
    <w:rsid w:val="002726E2"/>
    <w:pPr>
      <w:ind w:left="720"/>
      <w:contextualSpacing/>
    </w:pPr>
  </w:style>
  <w:style w:type="paragraph" w:styleId="TOCHeading">
    <w:name w:val="TOC Heading"/>
    <w:basedOn w:val="Heading1"/>
    <w:next w:val="Normal"/>
    <w:uiPriority w:val="39"/>
    <w:semiHidden/>
    <w:unhideWhenUsed/>
    <w:qFormat/>
    <w:rsid w:val="00D332BC"/>
    <w:pPr>
      <w:spacing w:after="0"/>
      <w:outlineLvl w:val="9"/>
    </w:pPr>
    <w:rPr>
      <w:rFonts w:asciiTheme="majorHAnsi" w:hAnsiTheme="majorHAnsi"/>
      <w:color w:val="365F91" w:themeColor="accent1" w:themeShade="BF"/>
      <w:sz w:val="28"/>
      <w:lang w:val="bg-BG"/>
    </w:rPr>
  </w:style>
  <w:style w:type="paragraph" w:styleId="TOC1">
    <w:name w:val="toc 1"/>
    <w:basedOn w:val="Normal"/>
    <w:next w:val="Normal"/>
    <w:autoRedefine/>
    <w:uiPriority w:val="39"/>
    <w:unhideWhenUsed/>
    <w:rsid w:val="00D332BC"/>
    <w:pPr>
      <w:tabs>
        <w:tab w:val="left" w:pos="440"/>
        <w:tab w:val="right" w:leader="dot" w:pos="9350"/>
      </w:tabs>
      <w:spacing w:after="100"/>
      <w:jc w:val="both"/>
    </w:pPr>
    <w:rPr>
      <w:rFonts w:cs="Times New Roman"/>
      <w:b/>
      <w:noProof/>
      <w:szCs w:val="26"/>
      <w:lang w:val="bg-BG"/>
    </w:rPr>
  </w:style>
  <w:style w:type="paragraph" w:styleId="TOC2">
    <w:name w:val="toc 2"/>
    <w:basedOn w:val="Normal"/>
    <w:next w:val="Normal"/>
    <w:autoRedefine/>
    <w:uiPriority w:val="39"/>
    <w:unhideWhenUsed/>
    <w:rsid w:val="00D35D16"/>
    <w:pPr>
      <w:tabs>
        <w:tab w:val="left" w:pos="880"/>
        <w:tab w:val="right" w:leader="dot" w:pos="9350"/>
      </w:tabs>
      <w:spacing w:after="100"/>
      <w:ind w:left="260"/>
      <w:jc w:val="both"/>
    </w:pPr>
  </w:style>
  <w:style w:type="paragraph" w:styleId="TOC3">
    <w:name w:val="toc 3"/>
    <w:basedOn w:val="Normal"/>
    <w:next w:val="Normal"/>
    <w:autoRedefine/>
    <w:uiPriority w:val="39"/>
    <w:unhideWhenUsed/>
    <w:rsid w:val="00D332BC"/>
    <w:pPr>
      <w:spacing w:after="100"/>
      <w:ind w:left="520"/>
    </w:pPr>
  </w:style>
  <w:style w:type="character" w:styleId="Hyperlink">
    <w:name w:val="Hyperlink"/>
    <w:basedOn w:val="DefaultParagraphFont"/>
    <w:uiPriority w:val="99"/>
    <w:unhideWhenUsed/>
    <w:rsid w:val="00D332BC"/>
    <w:rPr>
      <w:color w:val="0000FF" w:themeColor="hyperlink"/>
      <w:u w:val="single"/>
    </w:rPr>
  </w:style>
  <w:style w:type="paragraph" w:styleId="BalloonText">
    <w:name w:val="Balloon Text"/>
    <w:basedOn w:val="Normal"/>
    <w:link w:val="BalloonTextChar"/>
    <w:uiPriority w:val="99"/>
    <w:semiHidden/>
    <w:unhideWhenUsed/>
    <w:rsid w:val="00D33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32BC"/>
    <w:rPr>
      <w:rFonts w:ascii="Tahoma" w:hAnsi="Tahoma" w:cs="Tahoma"/>
      <w:sz w:val="16"/>
      <w:szCs w:val="16"/>
    </w:rPr>
  </w:style>
  <w:style w:type="paragraph" w:styleId="Header">
    <w:name w:val="header"/>
    <w:basedOn w:val="Normal"/>
    <w:link w:val="HeaderChar"/>
    <w:uiPriority w:val="99"/>
    <w:unhideWhenUsed/>
    <w:rsid w:val="00DD543F"/>
    <w:pPr>
      <w:tabs>
        <w:tab w:val="center" w:pos="4703"/>
        <w:tab w:val="right" w:pos="9406"/>
      </w:tabs>
      <w:spacing w:after="0" w:line="240" w:lineRule="auto"/>
    </w:pPr>
  </w:style>
  <w:style w:type="character" w:customStyle="1" w:styleId="HeaderChar">
    <w:name w:val="Header Char"/>
    <w:basedOn w:val="DefaultParagraphFont"/>
    <w:link w:val="Header"/>
    <w:uiPriority w:val="99"/>
    <w:rsid w:val="00DD543F"/>
  </w:style>
  <w:style w:type="paragraph" w:styleId="Footer">
    <w:name w:val="footer"/>
    <w:aliases w:val="ft"/>
    <w:basedOn w:val="Normal"/>
    <w:link w:val="FooterChar"/>
    <w:uiPriority w:val="99"/>
    <w:unhideWhenUsed/>
    <w:rsid w:val="00DD543F"/>
    <w:pPr>
      <w:tabs>
        <w:tab w:val="center" w:pos="4703"/>
        <w:tab w:val="right" w:pos="9406"/>
      </w:tabs>
      <w:spacing w:after="0" w:line="240" w:lineRule="auto"/>
    </w:pPr>
  </w:style>
  <w:style w:type="character" w:customStyle="1" w:styleId="FooterChar">
    <w:name w:val="Footer Char"/>
    <w:aliases w:val="ft Char"/>
    <w:basedOn w:val="DefaultParagraphFont"/>
    <w:link w:val="Footer"/>
    <w:uiPriority w:val="99"/>
    <w:rsid w:val="00DD543F"/>
  </w:style>
  <w:style w:type="paragraph" w:styleId="FootnoteText">
    <w:name w:val="footnote text"/>
    <w:basedOn w:val="Normal"/>
    <w:link w:val="FootnoteTextChar"/>
    <w:uiPriority w:val="99"/>
    <w:semiHidden/>
    <w:unhideWhenUsed/>
    <w:rsid w:val="00613A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3A85"/>
    <w:rPr>
      <w:sz w:val="20"/>
      <w:szCs w:val="20"/>
    </w:rPr>
  </w:style>
  <w:style w:type="character" w:styleId="FootnoteReference">
    <w:name w:val="footnote reference"/>
    <w:basedOn w:val="DefaultParagraphFont"/>
    <w:uiPriority w:val="99"/>
    <w:semiHidden/>
    <w:unhideWhenUsed/>
    <w:rsid w:val="00613A85"/>
    <w:rPr>
      <w:vertAlign w:val="superscript"/>
    </w:rPr>
  </w:style>
  <w:style w:type="paragraph" w:styleId="NormalWeb">
    <w:name w:val="Normal (Web)"/>
    <w:basedOn w:val="Normal"/>
    <w:uiPriority w:val="99"/>
    <w:semiHidden/>
    <w:unhideWhenUsed/>
    <w:rsid w:val="00A00B9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00B93"/>
    <w:rPr>
      <w:b/>
      <w:bCs/>
    </w:rPr>
  </w:style>
  <w:style w:type="character" w:customStyle="1" w:styleId="ala">
    <w:name w:val="al_a"/>
    <w:basedOn w:val="DefaultParagraphFont"/>
    <w:rsid w:val="00987A23"/>
  </w:style>
  <w:style w:type="character" w:customStyle="1" w:styleId="alt">
    <w:name w:val="al_t"/>
    <w:basedOn w:val="DefaultParagraphFont"/>
    <w:rsid w:val="003A5891"/>
  </w:style>
  <w:style w:type="character" w:customStyle="1" w:styleId="light">
    <w:name w:val="light"/>
    <w:basedOn w:val="DefaultParagraphFont"/>
    <w:rsid w:val="003A5891"/>
  </w:style>
  <w:style w:type="character" w:customStyle="1" w:styleId="alcapt">
    <w:name w:val="al_capt"/>
    <w:basedOn w:val="DefaultParagraphFont"/>
    <w:rsid w:val="003A5891"/>
  </w:style>
  <w:style w:type="character" w:customStyle="1" w:styleId="subparinclink">
    <w:name w:val="subparinclink"/>
    <w:basedOn w:val="DefaultParagraphFont"/>
    <w:rsid w:val="003A5891"/>
  </w:style>
  <w:style w:type="character" w:customStyle="1" w:styleId="articlehistory">
    <w:name w:val="article_history"/>
    <w:basedOn w:val="DefaultParagraphFont"/>
    <w:rsid w:val="003A5891"/>
  </w:style>
  <w:style w:type="character" w:customStyle="1" w:styleId="cnglog">
    <w:name w:val="cnglog"/>
    <w:basedOn w:val="DefaultParagraphFont"/>
    <w:rsid w:val="00597441"/>
  </w:style>
  <w:style w:type="table" w:styleId="TableGrid">
    <w:name w:val="Table Grid"/>
    <w:basedOn w:val="TableNormal"/>
    <w:uiPriority w:val="59"/>
    <w:rsid w:val="00153F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FA7F24"/>
    <w:rPr>
      <w:sz w:val="16"/>
      <w:szCs w:val="16"/>
    </w:rPr>
  </w:style>
  <w:style w:type="paragraph" w:styleId="CommentText">
    <w:name w:val="annotation text"/>
    <w:basedOn w:val="Normal"/>
    <w:link w:val="CommentTextChar"/>
    <w:uiPriority w:val="99"/>
    <w:semiHidden/>
    <w:unhideWhenUsed/>
    <w:rsid w:val="00FA7F24"/>
    <w:pPr>
      <w:spacing w:line="240" w:lineRule="auto"/>
    </w:pPr>
    <w:rPr>
      <w:sz w:val="20"/>
      <w:szCs w:val="20"/>
    </w:rPr>
  </w:style>
  <w:style w:type="character" w:customStyle="1" w:styleId="CommentTextChar">
    <w:name w:val="Comment Text Char"/>
    <w:basedOn w:val="DefaultParagraphFont"/>
    <w:link w:val="CommentText"/>
    <w:uiPriority w:val="99"/>
    <w:semiHidden/>
    <w:rsid w:val="00FA7F24"/>
    <w:rPr>
      <w:sz w:val="20"/>
      <w:szCs w:val="20"/>
    </w:rPr>
  </w:style>
  <w:style w:type="paragraph" w:styleId="CommentSubject">
    <w:name w:val="annotation subject"/>
    <w:basedOn w:val="CommentText"/>
    <w:next w:val="CommentText"/>
    <w:link w:val="CommentSubjectChar"/>
    <w:uiPriority w:val="99"/>
    <w:semiHidden/>
    <w:unhideWhenUsed/>
    <w:rsid w:val="00FA7F24"/>
    <w:rPr>
      <w:b/>
      <w:bCs/>
    </w:rPr>
  </w:style>
  <w:style w:type="character" w:customStyle="1" w:styleId="CommentSubjectChar">
    <w:name w:val="Comment Subject Char"/>
    <w:basedOn w:val="CommentTextChar"/>
    <w:link w:val="CommentSubject"/>
    <w:uiPriority w:val="99"/>
    <w:semiHidden/>
    <w:rsid w:val="00FA7F24"/>
    <w:rPr>
      <w:b/>
      <w:bCs/>
      <w:sz w:val="20"/>
      <w:szCs w:val="20"/>
    </w:rPr>
  </w:style>
  <w:style w:type="character" w:customStyle="1" w:styleId="historyitem">
    <w:name w:val="historyitem"/>
    <w:basedOn w:val="DefaultParagraphFont"/>
    <w:rsid w:val="006E3A2E"/>
  </w:style>
  <w:style w:type="character" w:customStyle="1" w:styleId="historyreference">
    <w:name w:val="historyreference"/>
    <w:basedOn w:val="DefaultParagraphFont"/>
    <w:rsid w:val="006E3A2E"/>
  </w:style>
  <w:style w:type="paragraph" w:styleId="Revision">
    <w:name w:val="Revision"/>
    <w:hidden/>
    <w:uiPriority w:val="99"/>
    <w:semiHidden/>
    <w:rsid w:val="00D30F48"/>
    <w:pPr>
      <w:spacing w:after="0" w:line="240" w:lineRule="auto"/>
    </w:pPr>
  </w:style>
  <w:style w:type="paragraph" w:styleId="Title">
    <w:name w:val="Title"/>
    <w:aliases w:val="Char Char, Char"/>
    <w:basedOn w:val="Normal"/>
    <w:link w:val="TitleChar"/>
    <w:uiPriority w:val="10"/>
    <w:qFormat/>
    <w:rsid w:val="00EE5750"/>
    <w:pPr>
      <w:spacing w:after="0" w:line="240" w:lineRule="auto"/>
      <w:jc w:val="center"/>
    </w:pPr>
    <w:rPr>
      <w:rFonts w:eastAsia="Times New Roman" w:cs="Times New Roman"/>
      <w:b/>
      <w:sz w:val="28"/>
      <w:szCs w:val="20"/>
      <w:lang w:val="bg-BG"/>
    </w:rPr>
  </w:style>
  <w:style w:type="character" w:customStyle="1" w:styleId="TitleChar">
    <w:name w:val="Title Char"/>
    <w:aliases w:val="Char Char Char, Char Char"/>
    <w:basedOn w:val="DefaultParagraphFont"/>
    <w:link w:val="Title"/>
    <w:uiPriority w:val="10"/>
    <w:rsid w:val="00EE5750"/>
    <w:rPr>
      <w:rFonts w:eastAsia="Times New Roman" w:cs="Times New Roman"/>
      <w:b/>
      <w:sz w:val="28"/>
      <w:szCs w:val="20"/>
      <w:lang w:val="bg-BG"/>
    </w:rPr>
  </w:style>
  <w:style w:type="table" w:customStyle="1" w:styleId="LightShading1">
    <w:name w:val="Light Shading1"/>
    <w:basedOn w:val="TableNormal"/>
    <w:uiPriority w:val="60"/>
    <w:rsid w:val="00CA548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shd w:val="clear" w:color="auto" w:fill="F2F2F2" w:themeFill="background1" w:themeFillShade="F2"/>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5">
    <w:name w:val="Light Shading Accent 5"/>
    <w:basedOn w:val="TableNormal"/>
    <w:uiPriority w:val="60"/>
    <w:rsid w:val="00CA5487"/>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11">
    <w:name w:val="Light Shading - Accent 11"/>
    <w:basedOn w:val="TableNormal"/>
    <w:uiPriority w:val="60"/>
    <w:rsid w:val="00CA548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odyText">
    <w:name w:val="Body Text"/>
    <w:aliases w:val="block style"/>
    <w:basedOn w:val="Normal"/>
    <w:link w:val="BodyTextChar"/>
    <w:rsid w:val="001D1DE6"/>
    <w:pPr>
      <w:spacing w:after="0" w:line="240" w:lineRule="auto"/>
      <w:jc w:val="center"/>
    </w:pPr>
    <w:rPr>
      <w:rFonts w:eastAsia="Times New Roman" w:cs="Times New Roman"/>
      <w:sz w:val="24"/>
      <w:szCs w:val="24"/>
    </w:rPr>
  </w:style>
  <w:style w:type="character" w:customStyle="1" w:styleId="BodyTextChar">
    <w:name w:val="Body Text Char"/>
    <w:aliases w:val="block style Char"/>
    <w:basedOn w:val="DefaultParagraphFont"/>
    <w:link w:val="BodyText"/>
    <w:rsid w:val="001D1DE6"/>
    <w:rPr>
      <w:rFonts w:eastAsia="Times New Roman" w:cs="Times New Roman"/>
      <w:sz w:val="24"/>
      <w:szCs w:val="24"/>
    </w:rPr>
  </w:style>
  <w:style w:type="paragraph" w:customStyle="1" w:styleId="ColorfulList-Accent11">
    <w:name w:val="Colorful List - Accent 11"/>
    <w:basedOn w:val="Normal"/>
    <w:uiPriority w:val="34"/>
    <w:qFormat/>
    <w:rsid w:val="0069417E"/>
    <w:pPr>
      <w:spacing w:after="0" w:line="240" w:lineRule="auto"/>
      <w:ind w:left="720"/>
    </w:pPr>
    <w:rPr>
      <w:rFonts w:eastAsia="Times New Roman" w:cs="Times New Roman"/>
      <w:sz w:val="24"/>
      <w:szCs w:val="24"/>
      <w:lang w:val="bg-BG"/>
    </w:rPr>
  </w:style>
  <w:style w:type="table" w:customStyle="1" w:styleId="ColorfulList1">
    <w:name w:val="Colorful List1"/>
    <w:basedOn w:val="TableNormal"/>
    <w:uiPriority w:val="72"/>
    <w:rsid w:val="008728F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LightShading2">
    <w:name w:val="Light Shading2"/>
    <w:basedOn w:val="TableNormal"/>
    <w:uiPriority w:val="60"/>
    <w:rsid w:val="00B73C1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3">
    <w:name w:val="Light Shading3"/>
    <w:basedOn w:val="TableNormal"/>
    <w:uiPriority w:val="60"/>
    <w:rsid w:val="00FA6F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2432FE"/>
    <w:pPr>
      <w:spacing w:after="0" w:line="240" w:lineRule="auto"/>
    </w:pPr>
  </w:style>
  <w:style w:type="character" w:customStyle="1" w:styleId="hps">
    <w:name w:val="hps"/>
    <w:basedOn w:val="DefaultParagraphFont"/>
    <w:rsid w:val="002432FE"/>
  </w:style>
</w:styles>
</file>

<file path=word/webSettings.xml><?xml version="1.0" encoding="utf-8"?>
<w:webSettings xmlns:r="http://schemas.openxmlformats.org/officeDocument/2006/relationships" xmlns:w="http://schemas.openxmlformats.org/wordprocessingml/2006/main">
  <w:divs>
    <w:div w:id="47265313">
      <w:bodyDiv w:val="1"/>
      <w:marLeft w:val="0"/>
      <w:marRight w:val="0"/>
      <w:marTop w:val="0"/>
      <w:marBottom w:val="0"/>
      <w:divBdr>
        <w:top w:val="none" w:sz="0" w:space="0" w:color="auto"/>
        <w:left w:val="none" w:sz="0" w:space="0" w:color="auto"/>
        <w:bottom w:val="none" w:sz="0" w:space="0" w:color="auto"/>
        <w:right w:val="none" w:sz="0" w:space="0" w:color="auto"/>
      </w:divBdr>
    </w:div>
    <w:div w:id="73430063">
      <w:bodyDiv w:val="1"/>
      <w:marLeft w:val="0"/>
      <w:marRight w:val="0"/>
      <w:marTop w:val="0"/>
      <w:marBottom w:val="0"/>
      <w:divBdr>
        <w:top w:val="none" w:sz="0" w:space="0" w:color="auto"/>
        <w:left w:val="none" w:sz="0" w:space="0" w:color="auto"/>
        <w:bottom w:val="none" w:sz="0" w:space="0" w:color="auto"/>
        <w:right w:val="none" w:sz="0" w:space="0" w:color="auto"/>
      </w:divBdr>
    </w:div>
    <w:div w:id="632371160">
      <w:bodyDiv w:val="1"/>
      <w:marLeft w:val="0"/>
      <w:marRight w:val="0"/>
      <w:marTop w:val="0"/>
      <w:marBottom w:val="0"/>
      <w:divBdr>
        <w:top w:val="none" w:sz="0" w:space="0" w:color="auto"/>
        <w:left w:val="none" w:sz="0" w:space="0" w:color="auto"/>
        <w:bottom w:val="none" w:sz="0" w:space="0" w:color="auto"/>
        <w:right w:val="none" w:sz="0" w:space="0" w:color="auto"/>
      </w:divBdr>
    </w:div>
    <w:div w:id="812139433">
      <w:bodyDiv w:val="1"/>
      <w:marLeft w:val="0"/>
      <w:marRight w:val="0"/>
      <w:marTop w:val="0"/>
      <w:marBottom w:val="0"/>
      <w:divBdr>
        <w:top w:val="none" w:sz="0" w:space="0" w:color="auto"/>
        <w:left w:val="none" w:sz="0" w:space="0" w:color="auto"/>
        <w:bottom w:val="none" w:sz="0" w:space="0" w:color="auto"/>
        <w:right w:val="none" w:sz="0" w:space="0" w:color="auto"/>
      </w:divBdr>
    </w:div>
    <w:div w:id="824053202">
      <w:bodyDiv w:val="1"/>
      <w:marLeft w:val="0"/>
      <w:marRight w:val="0"/>
      <w:marTop w:val="0"/>
      <w:marBottom w:val="0"/>
      <w:divBdr>
        <w:top w:val="none" w:sz="0" w:space="0" w:color="auto"/>
        <w:left w:val="none" w:sz="0" w:space="0" w:color="auto"/>
        <w:bottom w:val="none" w:sz="0" w:space="0" w:color="auto"/>
        <w:right w:val="none" w:sz="0" w:space="0" w:color="auto"/>
      </w:divBdr>
    </w:div>
    <w:div w:id="866329591">
      <w:bodyDiv w:val="1"/>
      <w:marLeft w:val="0"/>
      <w:marRight w:val="0"/>
      <w:marTop w:val="0"/>
      <w:marBottom w:val="0"/>
      <w:divBdr>
        <w:top w:val="none" w:sz="0" w:space="0" w:color="auto"/>
        <w:left w:val="none" w:sz="0" w:space="0" w:color="auto"/>
        <w:bottom w:val="none" w:sz="0" w:space="0" w:color="auto"/>
        <w:right w:val="none" w:sz="0" w:space="0" w:color="auto"/>
      </w:divBdr>
    </w:div>
    <w:div w:id="911619381">
      <w:bodyDiv w:val="1"/>
      <w:marLeft w:val="0"/>
      <w:marRight w:val="0"/>
      <w:marTop w:val="0"/>
      <w:marBottom w:val="0"/>
      <w:divBdr>
        <w:top w:val="none" w:sz="0" w:space="0" w:color="auto"/>
        <w:left w:val="none" w:sz="0" w:space="0" w:color="auto"/>
        <w:bottom w:val="none" w:sz="0" w:space="0" w:color="auto"/>
        <w:right w:val="none" w:sz="0" w:space="0" w:color="auto"/>
      </w:divBdr>
    </w:div>
    <w:div w:id="1164467072">
      <w:bodyDiv w:val="1"/>
      <w:marLeft w:val="0"/>
      <w:marRight w:val="0"/>
      <w:marTop w:val="0"/>
      <w:marBottom w:val="0"/>
      <w:divBdr>
        <w:top w:val="none" w:sz="0" w:space="0" w:color="auto"/>
        <w:left w:val="none" w:sz="0" w:space="0" w:color="auto"/>
        <w:bottom w:val="none" w:sz="0" w:space="0" w:color="auto"/>
        <w:right w:val="none" w:sz="0" w:space="0" w:color="auto"/>
      </w:divBdr>
    </w:div>
    <w:div w:id="1309280290">
      <w:bodyDiv w:val="1"/>
      <w:marLeft w:val="0"/>
      <w:marRight w:val="0"/>
      <w:marTop w:val="0"/>
      <w:marBottom w:val="0"/>
      <w:divBdr>
        <w:top w:val="none" w:sz="0" w:space="0" w:color="auto"/>
        <w:left w:val="none" w:sz="0" w:space="0" w:color="auto"/>
        <w:bottom w:val="none" w:sz="0" w:space="0" w:color="auto"/>
        <w:right w:val="none" w:sz="0" w:space="0" w:color="auto"/>
      </w:divBdr>
    </w:div>
    <w:div w:id="1341544315">
      <w:bodyDiv w:val="1"/>
      <w:marLeft w:val="0"/>
      <w:marRight w:val="0"/>
      <w:marTop w:val="0"/>
      <w:marBottom w:val="0"/>
      <w:divBdr>
        <w:top w:val="none" w:sz="0" w:space="0" w:color="auto"/>
        <w:left w:val="none" w:sz="0" w:space="0" w:color="auto"/>
        <w:bottom w:val="none" w:sz="0" w:space="0" w:color="auto"/>
        <w:right w:val="none" w:sz="0" w:space="0" w:color="auto"/>
      </w:divBdr>
    </w:div>
    <w:div w:id="1550603720">
      <w:bodyDiv w:val="1"/>
      <w:marLeft w:val="0"/>
      <w:marRight w:val="0"/>
      <w:marTop w:val="0"/>
      <w:marBottom w:val="0"/>
      <w:divBdr>
        <w:top w:val="none" w:sz="0" w:space="0" w:color="auto"/>
        <w:left w:val="none" w:sz="0" w:space="0" w:color="auto"/>
        <w:bottom w:val="none" w:sz="0" w:space="0" w:color="auto"/>
        <w:right w:val="none" w:sz="0" w:space="0" w:color="auto"/>
      </w:divBdr>
    </w:div>
    <w:div w:id="1760177313">
      <w:bodyDiv w:val="1"/>
      <w:marLeft w:val="0"/>
      <w:marRight w:val="0"/>
      <w:marTop w:val="0"/>
      <w:marBottom w:val="0"/>
      <w:divBdr>
        <w:top w:val="none" w:sz="0" w:space="0" w:color="auto"/>
        <w:left w:val="none" w:sz="0" w:space="0" w:color="auto"/>
        <w:bottom w:val="none" w:sz="0" w:space="0" w:color="auto"/>
        <w:right w:val="none" w:sz="0" w:space="0" w:color="auto"/>
      </w:divBdr>
      <w:divsChild>
        <w:div w:id="219100293">
          <w:marLeft w:val="0"/>
          <w:marRight w:val="0"/>
          <w:marTop w:val="0"/>
          <w:marBottom w:val="0"/>
          <w:divBdr>
            <w:top w:val="none" w:sz="0" w:space="0" w:color="auto"/>
            <w:left w:val="none" w:sz="0" w:space="0" w:color="auto"/>
            <w:bottom w:val="none" w:sz="0" w:space="0" w:color="auto"/>
            <w:right w:val="none" w:sz="0" w:space="0" w:color="auto"/>
          </w:divBdr>
          <w:divsChild>
            <w:div w:id="564493998">
              <w:marLeft w:val="0"/>
              <w:marRight w:val="0"/>
              <w:marTop w:val="0"/>
              <w:marBottom w:val="0"/>
              <w:divBdr>
                <w:top w:val="none" w:sz="0" w:space="0" w:color="auto"/>
                <w:left w:val="none" w:sz="0" w:space="0" w:color="auto"/>
                <w:bottom w:val="none" w:sz="0" w:space="0" w:color="auto"/>
                <w:right w:val="none" w:sz="0" w:space="0" w:color="auto"/>
              </w:divBdr>
              <w:divsChild>
                <w:div w:id="738141137">
                  <w:marLeft w:val="0"/>
                  <w:marRight w:val="0"/>
                  <w:marTop w:val="0"/>
                  <w:marBottom w:val="0"/>
                  <w:divBdr>
                    <w:top w:val="none" w:sz="0" w:space="0" w:color="auto"/>
                    <w:left w:val="none" w:sz="0" w:space="0" w:color="auto"/>
                    <w:bottom w:val="none" w:sz="0" w:space="0" w:color="auto"/>
                    <w:right w:val="none" w:sz="0" w:space="0" w:color="auto"/>
                  </w:divBdr>
                  <w:divsChild>
                    <w:div w:id="965236930">
                      <w:marLeft w:val="1"/>
                      <w:marRight w:val="1"/>
                      <w:marTop w:val="0"/>
                      <w:marBottom w:val="0"/>
                      <w:divBdr>
                        <w:top w:val="none" w:sz="0" w:space="0" w:color="auto"/>
                        <w:left w:val="none" w:sz="0" w:space="0" w:color="auto"/>
                        <w:bottom w:val="none" w:sz="0" w:space="0" w:color="auto"/>
                        <w:right w:val="none" w:sz="0" w:space="0" w:color="auto"/>
                      </w:divBdr>
                      <w:divsChild>
                        <w:div w:id="1600866224">
                          <w:marLeft w:val="0"/>
                          <w:marRight w:val="0"/>
                          <w:marTop w:val="0"/>
                          <w:marBottom w:val="0"/>
                          <w:divBdr>
                            <w:top w:val="none" w:sz="0" w:space="0" w:color="auto"/>
                            <w:left w:val="none" w:sz="0" w:space="0" w:color="auto"/>
                            <w:bottom w:val="none" w:sz="0" w:space="0" w:color="auto"/>
                            <w:right w:val="none" w:sz="0" w:space="0" w:color="auto"/>
                          </w:divBdr>
                          <w:divsChild>
                            <w:div w:id="811749411">
                              <w:marLeft w:val="0"/>
                              <w:marRight w:val="0"/>
                              <w:marTop w:val="0"/>
                              <w:marBottom w:val="360"/>
                              <w:divBdr>
                                <w:top w:val="none" w:sz="0" w:space="0" w:color="auto"/>
                                <w:left w:val="none" w:sz="0" w:space="0" w:color="auto"/>
                                <w:bottom w:val="none" w:sz="0" w:space="0" w:color="auto"/>
                                <w:right w:val="none" w:sz="0" w:space="0" w:color="auto"/>
                              </w:divBdr>
                              <w:divsChild>
                                <w:div w:id="1322539202">
                                  <w:marLeft w:val="0"/>
                                  <w:marRight w:val="0"/>
                                  <w:marTop w:val="0"/>
                                  <w:marBottom w:val="0"/>
                                  <w:divBdr>
                                    <w:top w:val="none" w:sz="0" w:space="0" w:color="auto"/>
                                    <w:left w:val="none" w:sz="0" w:space="0" w:color="auto"/>
                                    <w:bottom w:val="none" w:sz="0" w:space="0" w:color="auto"/>
                                    <w:right w:val="none" w:sz="0" w:space="0" w:color="auto"/>
                                  </w:divBdr>
                                  <w:divsChild>
                                    <w:div w:id="2124181143">
                                      <w:marLeft w:val="0"/>
                                      <w:marRight w:val="0"/>
                                      <w:marTop w:val="0"/>
                                      <w:marBottom w:val="0"/>
                                      <w:divBdr>
                                        <w:top w:val="none" w:sz="0" w:space="0" w:color="auto"/>
                                        <w:left w:val="none" w:sz="0" w:space="0" w:color="auto"/>
                                        <w:bottom w:val="none" w:sz="0" w:space="0" w:color="auto"/>
                                        <w:right w:val="none" w:sz="0" w:space="0" w:color="auto"/>
                                      </w:divBdr>
                                      <w:divsChild>
                                        <w:div w:id="620304619">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sChild>
                                </w:div>
                              </w:divsChild>
                            </w:div>
                          </w:divsChild>
                        </w:div>
                      </w:divsChild>
                    </w:div>
                  </w:divsChild>
                </w:div>
              </w:divsChild>
            </w:div>
          </w:divsChild>
        </w:div>
      </w:divsChild>
    </w:div>
    <w:div w:id="1775517884">
      <w:bodyDiv w:val="1"/>
      <w:marLeft w:val="0"/>
      <w:marRight w:val="0"/>
      <w:marTop w:val="0"/>
      <w:marBottom w:val="0"/>
      <w:divBdr>
        <w:top w:val="none" w:sz="0" w:space="0" w:color="auto"/>
        <w:left w:val="none" w:sz="0" w:space="0" w:color="auto"/>
        <w:bottom w:val="none" w:sz="0" w:space="0" w:color="auto"/>
        <w:right w:val="none" w:sz="0" w:space="0" w:color="auto"/>
      </w:divBdr>
    </w:div>
    <w:div w:id="196222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A460D-E9E0-4D9A-AF29-4A30C46B6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4016</Words>
  <Characters>22892</Characters>
  <Application>Microsoft Office Word</Application>
  <DocSecurity>0</DocSecurity>
  <Lines>190</Lines>
  <Paragraphs>53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AFA OOD</Company>
  <LinksUpToDate>false</LinksUpToDate>
  <CharactersWithSpaces>26855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Автор</dc:creator>
  <cp:lastModifiedBy>Monika Mihova</cp:lastModifiedBy>
  <cp:revision>5</cp:revision>
  <cp:lastPrinted>2015-01-27T16:44:00Z</cp:lastPrinted>
  <dcterms:created xsi:type="dcterms:W3CDTF">2015-03-30T08:26:00Z</dcterms:created>
  <dcterms:modified xsi:type="dcterms:W3CDTF">2015-05-18T11:03:00Z</dcterms:modified>
</cp:coreProperties>
</file>